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6D5DCB28" w:rsidR="00B93A0B" w:rsidRPr="009A5EA7" w:rsidRDefault="00645BAD" w:rsidP="006F5F1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79"/>
        <w:gridCol w:w="9641"/>
      </w:tblGrid>
      <w:tr w:rsidR="00522BC2" w:rsidRPr="009A5EA7" w14:paraId="11B5AE0F" w14:textId="77777777" w:rsidTr="00E52035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8F444A0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4233FA25" w:rsidR="00522BC2" w:rsidRPr="009A5EA7" w:rsidRDefault="00E91B0C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2E3A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E3A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470C97" w:rsidRPr="009A5EA7" w14:paraId="5CAA6B10" w14:textId="77777777" w:rsidTr="00BE5D08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shd w:val="clear" w:color="auto" w:fill="FFFFFF" w:themeFill="background1"/>
            <w:vAlign w:val="center"/>
          </w:tcPr>
          <w:p w14:paraId="0ACB1F88" w14:textId="77777777" w:rsidR="00DE3996" w:rsidRPr="00DE3996" w:rsidRDefault="00DE3996" w:rsidP="00DE3996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2D8555C9" w14:textId="77777777" w:rsidR="00DE3996" w:rsidRPr="00DE3996" w:rsidRDefault="00DE3996" w:rsidP="00DE3996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6F38CE64" w14:textId="77777777" w:rsidR="00DE3996" w:rsidRPr="00DE3996" w:rsidRDefault="00DE3996" w:rsidP="00DE3996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3BD45AC1" w14:textId="7152D261" w:rsidR="00764684" w:rsidRPr="009A5EA7" w:rsidRDefault="00DE3996" w:rsidP="00DE3996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3-  Hladilnik laboratorijski (1 kos)</w:t>
            </w:r>
          </w:p>
        </w:tc>
      </w:tr>
    </w:tbl>
    <w:p w14:paraId="41FD991D" w14:textId="77777777" w:rsidR="007174D8" w:rsidRDefault="007174D8" w:rsidP="007174D8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396710D5" w14:textId="77777777" w:rsidR="007174D8" w:rsidRDefault="007174D8" w:rsidP="007174D8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36EDD04" w14:textId="3EA45AE6" w:rsidR="008E30D4" w:rsidRPr="008E30D4" w:rsidRDefault="008E30D4" w:rsidP="008E30D4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Sklop </w:t>
      </w:r>
      <w:r w:rsidR="002E3AB6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1</w:t>
      </w: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466B8A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Hladilna omara</w:t>
      </w:r>
      <w:r w:rsidRPr="008E30D4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(2 kos)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546"/>
        <w:gridCol w:w="1985"/>
        <w:gridCol w:w="1060"/>
        <w:gridCol w:w="1351"/>
        <w:gridCol w:w="3525"/>
        <w:gridCol w:w="3688"/>
      </w:tblGrid>
      <w:tr w:rsidR="008E30D4" w:rsidRPr="009A5EA7" w14:paraId="4D803272" w14:textId="77777777" w:rsidTr="00A90851">
        <w:trPr>
          <w:trHeight w:val="368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6467" w14:textId="77777777" w:rsidR="008E30D4" w:rsidRPr="00680E23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D975D8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C2A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5B2D35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E2133C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108BB7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70D8A52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8E30D4" w:rsidRPr="00CE3C88" w14:paraId="1A166E38" w14:textId="77777777" w:rsidTr="00A90851">
        <w:trPr>
          <w:trHeight w:val="19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2444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146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2BD6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D98FAC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69BF02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D17D93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CB660A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8E30D4" w:rsidRPr="009A5EA7" w14:paraId="56FE364D" w14:textId="77777777" w:rsidTr="00A90851">
        <w:trPr>
          <w:trHeight w:val="190"/>
        </w:trPr>
        <w:tc>
          <w:tcPr>
            <w:tcW w:w="9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12F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A0A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02FB36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6C2EB1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821A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40E0D5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71760987" w14:textId="77777777" w:rsidR="008E30D4" w:rsidRDefault="008E30D4" w:rsidP="008E30D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2" w:name="_Hlk41550411"/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508"/>
        <w:gridCol w:w="1075"/>
        <w:gridCol w:w="1888"/>
        <w:gridCol w:w="1408"/>
        <w:gridCol w:w="3103"/>
        <w:gridCol w:w="4238"/>
      </w:tblGrid>
      <w:tr w:rsidR="008E30D4" w:rsidRPr="009A5EA7" w14:paraId="46E81932" w14:textId="77777777" w:rsidTr="008E30D4">
        <w:trPr>
          <w:trHeight w:val="805"/>
        </w:trPr>
        <w:tc>
          <w:tcPr>
            <w:tcW w:w="882" w:type="pct"/>
            <w:shd w:val="clear" w:color="auto" w:fill="99CC00"/>
          </w:tcPr>
          <w:p w14:paraId="58586CEA" w14:textId="77777777" w:rsidR="008E30D4" w:rsidRPr="00680E23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3" w:name="_Hlk10716596"/>
            <w:bookmarkEnd w:id="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 Vzdrževanje*</w:t>
            </w:r>
          </w:p>
        </w:tc>
        <w:tc>
          <w:tcPr>
            <w:tcW w:w="378" w:type="pct"/>
            <w:shd w:val="clear" w:color="auto" w:fill="99CC00"/>
          </w:tcPr>
          <w:p w14:paraId="53572400" w14:textId="77777777" w:rsidR="008E30D4" w:rsidRPr="00766C00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64" w:type="pct"/>
            <w:shd w:val="clear" w:color="auto" w:fill="99CC00"/>
          </w:tcPr>
          <w:p w14:paraId="510CE96B" w14:textId="77777777" w:rsidR="008E30D4" w:rsidRPr="00E77633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99CC00"/>
          </w:tcPr>
          <w:p w14:paraId="77638A68" w14:textId="77777777" w:rsidR="008E30D4" w:rsidRPr="00E77633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99CC00"/>
          </w:tcPr>
          <w:p w14:paraId="40C19E22" w14:textId="707143E3" w:rsidR="008E30D4" w:rsidRPr="00E77633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brez DDV</w:t>
            </w:r>
            <w:r w:rsidR="00466B8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2 Hladilni omari</w:t>
            </w: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99CC00"/>
          </w:tcPr>
          <w:p w14:paraId="5EDC5CFC" w14:textId="5858BD41" w:rsidR="008E30D4" w:rsidRPr="00E77633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z DDV</w:t>
            </w:r>
            <w:r w:rsidR="00466B8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2 Hladilni omari</w:t>
            </w:r>
          </w:p>
        </w:tc>
      </w:tr>
      <w:tr w:rsidR="008E30D4" w:rsidRPr="009A5EA7" w14:paraId="304CE62C" w14:textId="77777777" w:rsidTr="008E30D4">
        <w:trPr>
          <w:trHeight w:val="383"/>
        </w:trPr>
        <w:tc>
          <w:tcPr>
            <w:tcW w:w="882" w:type="pct"/>
          </w:tcPr>
          <w:p w14:paraId="511B7159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378" w:type="pct"/>
          </w:tcPr>
          <w:p w14:paraId="24D84989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1889DD52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7BFC5060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5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9A47EEB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6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56A5C394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7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</w:tr>
      <w:tr w:rsidR="008E30D4" w:rsidRPr="009A5EA7" w14:paraId="17EB590D" w14:textId="77777777" w:rsidTr="00A90851">
        <w:trPr>
          <w:trHeight w:val="383"/>
        </w:trPr>
        <w:tc>
          <w:tcPr>
            <w:tcW w:w="1260" w:type="pct"/>
            <w:gridSpan w:val="2"/>
          </w:tcPr>
          <w:p w14:paraId="1C3B7106" w14:textId="77777777" w:rsidR="008E30D4" w:rsidRPr="008E30D4" w:rsidRDefault="008E30D4" w:rsidP="00A9085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E30D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2F6BC694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4ADD59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2BE8A434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16F03343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8E30D4" w:rsidRPr="009A5EA7" w14:paraId="469F7E5B" w14:textId="77777777" w:rsidTr="008E30D4">
        <w:trPr>
          <w:trHeight w:val="383"/>
        </w:trPr>
        <w:tc>
          <w:tcPr>
            <w:tcW w:w="882" w:type="pct"/>
          </w:tcPr>
          <w:p w14:paraId="112704E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Del.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ura</w:t>
            </w:r>
          </w:p>
        </w:tc>
        <w:tc>
          <w:tcPr>
            <w:tcW w:w="378" w:type="pct"/>
          </w:tcPr>
          <w:p w14:paraId="20F48A88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6073511B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8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FB6082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2440D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984F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E30D4" w:rsidRPr="009A5EA7" w14:paraId="7C77EC6D" w14:textId="77777777" w:rsidTr="008E30D4">
        <w:trPr>
          <w:trHeight w:val="383"/>
        </w:trPr>
        <w:tc>
          <w:tcPr>
            <w:tcW w:w="882" w:type="pct"/>
          </w:tcPr>
          <w:p w14:paraId="6FBF357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378" w:type="pct"/>
          </w:tcPr>
          <w:p w14:paraId="1573BA61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13C1D71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9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605AC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7AF4494F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08AD53E3" w14:textId="77777777" w:rsidR="008E30D4" w:rsidRPr="009A5EA7" w:rsidRDefault="008E30D4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E30D4" w:rsidRPr="006F5F1B" w14:paraId="76E3F225" w14:textId="77777777" w:rsidTr="008E30D4">
        <w:trPr>
          <w:trHeight w:val="383"/>
        </w:trPr>
        <w:tc>
          <w:tcPr>
            <w:tcW w:w="882" w:type="pct"/>
          </w:tcPr>
          <w:p w14:paraId="1FB5FDF2" w14:textId="77777777" w:rsidR="008E30D4" w:rsidRPr="0039694E" w:rsidRDefault="008E30D4" w:rsidP="00A90851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378" w:type="pct"/>
          </w:tcPr>
          <w:p w14:paraId="23DBF991" w14:textId="77777777" w:rsidR="008E30D4" w:rsidRPr="0039694E" w:rsidRDefault="008E30D4" w:rsidP="00A90851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prihod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4902028C" w14:textId="77777777" w:rsidR="008E30D4" w:rsidRPr="0039694E" w:rsidRDefault="008E30D4" w:rsidP="00A90851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0" w:name="Besedilo92"/>
            <w:r w:rsidRPr="0039694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9694E">
              <w:rPr>
                <w:rFonts w:ascii="Tahoma" w:hAnsi="Tahoma" w:cs="Tahoma"/>
                <w:sz w:val="18"/>
                <w:szCs w:val="18"/>
              </w:rPr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88AA6" w14:textId="77777777" w:rsidR="008E30D4" w:rsidRPr="0039694E" w:rsidRDefault="008E30D4" w:rsidP="00A9085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475C01AF" w14:textId="77777777" w:rsidR="008E30D4" w:rsidRPr="006F5F1B" w:rsidRDefault="008E30D4" w:rsidP="00A90851"/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2FB96853" w14:textId="77777777" w:rsidR="008E30D4" w:rsidRPr="006F5F1B" w:rsidRDefault="008E30D4" w:rsidP="00A90851"/>
        </w:tc>
      </w:tr>
      <w:bookmarkEnd w:id="3"/>
    </w:tbl>
    <w:p w14:paraId="21CD65E9" w14:textId="77777777" w:rsidR="008E30D4" w:rsidRDefault="008E30D4" w:rsidP="008E30D4">
      <w:pPr>
        <w:rPr>
          <w:rFonts w:ascii="Tahoma" w:hAnsi="Tahoma" w:cs="Tahoma"/>
          <w:sz w:val="18"/>
          <w:szCs w:val="18"/>
        </w:rPr>
      </w:pPr>
    </w:p>
    <w:p w14:paraId="5FCB67D8" w14:textId="40E64420" w:rsidR="008E30D4" w:rsidRPr="00AD6B0A" w:rsidRDefault="008E30D4" w:rsidP="008E30D4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 xml:space="preserve">Proizvajalec predpisuje  Servisni Pregled po navodilih proizvajalca, ki se izvaja </w:t>
      </w:r>
      <w:r w:rsidRPr="00AD6B0A">
        <w:rPr>
          <w:rFonts w:ascii="Tahoma" w:hAnsi="Tahoma" w:cs="Tahoma"/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1" w:name="Besedilo84"/>
      <w:r w:rsidRPr="00AD6B0A">
        <w:rPr>
          <w:rFonts w:ascii="Tahoma" w:hAnsi="Tahoma" w:cs="Tahoma"/>
          <w:sz w:val="18"/>
          <w:szCs w:val="18"/>
        </w:rPr>
        <w:instrText xml:space="preserve"> FORMTEXT </w:instrText>
      </w:r>
      <w:r w:rsidRPr="00AD6B0A">
        <w:rPr>
          <w:rFonts w:ascii="Tahoma" w:hAnsi="Tahoma" w:cs="Tahoma"/>
          <w:sz w:val="18"/>
          <w:szCs w:val="18"/>
        </w:rPr>
      </w:r>
      <w:r w:rsidRPr="00AD6B0A">
        <w:rPr>
          <w:rFonts w:ascii="Tahoma" w:hAnsi="Tahoma" w:cs="Tahoma"/>
          <w:sz w:val="18"/>
          <w:szCs w:val="18"/>
        </w:rPr>
        <w:fldChar w:fldCharType="separate"/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fldChar w:fldCharType="end"/>
      </w:r>
      <w:bookmarkEnd w:id="11"/>
      <w:r w:rsidRPr="00AD6B0A">
        <w:rPr>
          <w:rFonts w:ascii="Tahoma" w:hAnsi="Tahoma" w:cs="Tahoma"/>
          <w:sz w:val="18"/>
          <w:szCs w:val="18"/>
        </w:rPr>
        <w:t>-krat letno</w:t>
      </w:r>
      <w:r w:rsidR="00466B8A">
        <w:rPr>
          <w:rFonts w:ascii="Tahoma" w:hAnsi="Tahoma" w:cs="Tahoma"/>
          <w:sz w:val="18"/>
          <w:szCs w:val="18"/>
        </w:rPr>
        <w:t xml:space="preserve"> </w:t>
      </w:r>
      <w:r w:rsidR="00466B8A" w:rsidRPr="00466B8A">
        <w:rPr>
          <w:rFonts w:ascii="Tahoma" w:hAnsi="Tahoma" w:cs="Tahoma"/>
          <w:b/>
          <w:bCs/>
          <w:sz w:val="18"/>
          <w:szCs w:val="18"/>
        </w:rPr>
        <w:t>(IZPOLNI PONUDNIK).</w:t>
      </w:r>
    </w:p>
    <w:p w14:paraId="7A4AFFEC" w14:textId="19A50163" w:rsidR="007174D8" w:rsidRPr="004F476E" w:rsidRDefault="008E30D4" w:rsidP="004F476E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lastRenderedPageBreak/>
        <w:t>*</w:t>
      </w:r>
      <w:r w:rsidRPr="007A03CD">
        <w:t xml:space="preserve"> </w:t>
      </w:r>
      <w:r w:rsidRPr="007A03CD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p w14:paraId="40432FA3" w14:textId="4511FCCE" w:rsidR="002E3AB6" w:rsidRDefault="002E3AB6" w:rsidP="002E3AB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Sklop </w:t>
      </w:r>
      <w:r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2</w:t>
      </w: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Hladilnik laboratorijski z zamrzovalnikom (1 kos)</w:t>
      </w:r>
    </w:p>
    <w:p w14:paraId="029AAE5E" w14:textId="77777777" w:rsidR="002E3AB6" w:rsidRPr="008E30D4" w:rsidRDefault="002E3AB6" w:rsidP="002E3AB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11"/>
        <w:gridCol w:w="1974"/>
        <w:gridCol w:w="1051"/>
        <w:gridCol w:w="1340"/>
        <w:gridCol w:w="3514"/>
        <w:gridCol w:w="3677"/>
      </w:tblGrid>
      <w:tr w:rsidR="002E3AB6" w:rsidRPr="009A5EA7" w14:paraId="06375CAA" w14:textId="77777777" w:rsidTr="00282B91">
        <w:trPr>
          <w:trHeight w:val="36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5C26" w14:textId="77777777" w:rsidR="002E3AB6" w:rsidRPr="00680E23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FE71924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2CF3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115734A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EF4D864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21E4D91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F929A55" w14:textId="77777777" w:rsidR="002E3AB6" w:rsidRPr="00766C00" w:rsidRDefault="002E3AB6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2E3AB6" w:rsidRPr="00CE3C88" w14:paraId="0CEB2F06" w14:textId="77777777" w:rsidTr="00282B91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9890" w14:textId="7F4C9E2D" w:rsidR="002E3AB6" w:rsidRPr="00CE3C88" w:rsidRDefault="00DE399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5A3" w14:textId="77777777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6FF8" w14:textId="77777777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3E47F3" w14:textId="77777777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5AFA5D" w14:textId="572998E9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438764" w14:textId="77777777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ADFDB6" w14:textId="77777777" w:rsidR="002E3AB6" w:rsidRPr="00CE3C88" w:rsidRDefault="002E3AB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2B91" w:rsidRPr="00CE3C88" w14:paraId="3D70A0C4" w14:textId="77777777" w:rsidTr="00282B91">
        <w:trPr>
          <w:trHeight w:val="190"/>
        </w:trPr>
        <w:tc>
          <w:tcPr>
            <w:tcW w:w="2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62F8" w14:textId="5E0E9EE9" w:rsidR="00282B91" w:rsidRPr="00DE3996" w:rsidRDefault="00282B91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E399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18B7A2" w14:textId="697714FD" w:rsidR="00282B91" w:rsidRPr="00CE3C88" w:rsidRDefault="00282B91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499F49" w14:textId="186D24F9" w:rsidR="00282B91" w:rsidRPr="00CE3C88" w:rsidRDefault="00282B91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2B91" w:rsidRPr="00CE3C88" w14:paraId="1AC82841" w14:textId="77777777" w:rsidTr="00B73039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80EE" w14:textId="1C59C443" w:rsidR="00282B91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Kalibracija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DCD01AD" w14:textId="1FF97C64" w:rsidR="00282B91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342C" w14:textId="4125C29F" w:rsidR="00282B91" w:rsidRPr="00CE3C88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ACC4C28" w14:textId="60A833BD" w:rsidR="00282B91" w:rsidRPr="00CE3C88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A928203" w14:textId="2FD5BBAB" w:rsidR="00282B91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1925AB9" w14:textId="358D5914" w:rsidR="00282B91" w:rsidRPr="00CE3C88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6AF366F" w14:textId="0A9F1276" w:rsidR="00282B91" w:rsidRPr="00CE3C88" w:rsidRDefault="00282B91" w:rsidP="00282B9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2814E0" w:rsidRPr="00CE3C88" w14:paraId="4065E8FB" w14:textId="77777777" w:rsidTr="00282B91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7BFA" w14:textId="66252881" w:rsidR="002814E0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Kalibracija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CDB" w14:textId="0A078FDD" w:rsidR="002814E0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izvedba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4887" w14:textId="7E6829E9" w:rsidR="002814E0" w:rsidRPr="00CE3C88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F63B03" w14:textId="7D1CBC70" w:rsidR="002814E0" w:rsidRPr="00CE3C88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429F03" w14:textId="450B0A13" w:rsidR="002814E0" w:rsidRDefault="00DE3996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ADD0E" w14:textId="52760B00" w:rsidR="002814E0" w:rsidRPr="00CE3C88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5F26F2" w14:textId="1590D1A6" w:rsidR="002814E0" w:rsidRPr="00CE3C88" w:rsidRDefault="002814E0" w:rsidP="00412AD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14E0" w:rsidRPr="009A5EA7" w14:paraId="16AE4978" w14:textId="77777777" w:rsidTr="00282B91">
        <w:trPr>
          <w:trHeight w:val="190"/>
        </w:trPr>
        <w:tc>
          <w:tcPr>
            <w:tcW w:w="2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E15E" w14:textId="11FAC582" w:rsidR="002814E0" w:rsidRPr="00835876" w:rsidRDefault="002814E0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9AC7A9" w14:textId="77777777" w:rsidR="002814E0" w:rsidRPr="00835876" w:rsidRDefault="002814E0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EA899E" w14:textId="77777777" w:rsidR="002814E0" w:rsidRPr="00835876" w:rsidRDefault="002814E0" w:rsidP="00412AD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2E5F25BC" w14:textId="77777777" w:rsidR="002E3AB6" w:rsidRDefault="002E3AB6" w:rsidP="002E3AB6">
      <w:pPr>
        <w:rPr>
          <w:rFonts w:ascii="Tahoma" w:hAnsi="Tahoma" w:cs="Tahoma"/>
          <w:sz w:val="18"/>
          <w:szCs w:val="18"/>
        </w:rPr>
      </w:pPr>
    </w:p>
    <w:p w14:paraId="5147125F" w14:textId="77777777" w:rsidR="002E3AB6" w:rsidRPr="004F476E" w:rsidRDefault="002E3AB6" w:rsidP="002E3AB6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Pr="007A03CD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p w14:paraId="44152DAA" w14:textId="7A2A04FD" w:rsidR="00CB0614" w:rsidRDefault="00DE3996" w:rsidP="007A03CD">
      <w:pPr>
        <w:rPr>
          <w:rFonts w:ascii="Tahoma" w:hAnsi="Tahoma" w:cs="Tahoma"/>
          <w:b/>
          <w:bCs/>
          <w:sz w:val="18"/>
          <w:szCs w:val="18"/>
        </w:rPr>
      </w:pPr>
      <w:r w:rsidRPr="00DE3996">
        <w:rPr>
          <w:rFonts w:ascii="Tahoma" w:hAnsi="Tahoma" w:cs="Tahoma"/>
          <w:b/>
          <w:bCs/>
          <w:sz w:val="18"/>
          <w:szCs w:val="18"/>
        </w:rPr>
        <w:t>Sklop 3 Hladilnik laboratorijski (1 kos)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11"/>
        <w:gridCol w:w="1974"/>
        <w:gridCol w:w="1051"/>
        <w:gridCol w:w="1340"/>
        <w:gridCol w:w="3514"/>
        <w:gridCol w:w="3677"/>
      </w:tblGrid>
      <w:tr w:rsidR="00DE3996" w:rsidRPr="009A5EA7" w14:paraId="5CFCB057" w14:textId="77777777" w:rsidTr="00843F40">
        <w:trPr>
          <w:trHeight w:val="36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99AC" w14:textId="77777777" w:rsidR="00DE3996" w:rsidRPr="00680E23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5345638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8122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D52A036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5D90D90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2EA0DE7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824206C" w14:textId="77777777" w:rsidR="00DE3996" w:rsidRPr="00766C00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DE3996" w:rsidRPr="00CE3C88" w14:paraId="676733C3" w14:textId="77777777" w:rsidTr="00843F40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E307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330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C4A5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729701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17C985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9ACA16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476E81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DE3996" w:rsidRPr="00CE3C88" w14:paraId="101C8A90" w14:textId="77777777" w:rsidTr="00843F40">
        <w:trPr>
          <w:trHeight w:val="190"/>
        </w:trPr>
        <w:tc>
          <w:tcPr>
            <w:tcW w:w="2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A511" w14:textId="77777777" w:rsidR="00DE3996" w:rsidRP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E399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7E663A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48C06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DE3996" w:rsidRPr="00CE3C88" w14:paraId="5FDCF4AD" w14:textId="77777777" w:rsidTr="00843F40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B9F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Kalibracija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1F5D47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3074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D31ACCE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5BF2C6F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21870C0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EAA21BB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DE3996" w:rsidRPr="00CE3C88" w14:paraId="77AD12D8" w14:textId="77777777" w:rsidTr="00843F40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776D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Kalibracija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DA0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izvedba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9279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751383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7A3D1D" w14:textId="77777777" w:rsidR="00DE3996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876809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AF0DB2" w14:textId="77777777" w:rsidR="00DE3996" w:rsidRPr="00CE3C88" w:rsidRDefault="00DE3996" w:rsidP="00843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DE3996" w:rsidRPr="009A5EA7" w14:paraId="400979E0" w14:textId="77777777" w:rsidTr="00843F40">
        <w:trPr>
          <w:trHeight w:val="190"/>
        </w:trPr>
        <w:tc>
          <w:tcPr>
            <w:tcW w:w="2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D69D" w14:textId="77777777" w:rsidR="00DE3996" w:rsidRPr="00835876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0E1F79" w14:textId="77777777" w:rsidR="00DE3996" w:rsidRPr="00835876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DA4803" w14:textId="77777777" w:rsidR="00DE3996" w:rsidRPr="00835876" w:rsidRDefault="00DE3996" w:rsidP="00843F40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5B8D21A1" w14:textId="2A1D3D2B" w:rsidR="00DE3996" w:rsidRPr="00DE3996" w:rsidRDefault="00DE3996" w:rsidP="007A03CD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Pr="007A03CD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12" w:name="_Hlk73358826"/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766C00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D80BB7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3" w:name="_Hlk73358809"/>
      <w:bookmarkEnd w:id="12"/>
      <w:bookmarkEnd w:id="13"/>
    </w:p>
    <w:sectPr w:rsidR="00A22199" w:rsidRPr="005E70A8" w:rsidSect="00D16C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22D2" w14:textId="77777777" w:rsidR="003E1F92" w:rsidRDefault="003E1F92" w:rsidP="00D5128C">
      <w:pPr>
        <w:spacing w:after="0" w:line="240" w:lineRule="auto"/>
      </w:pPr>
      <w:r>
        <w:separator/>
      </w:r>
    </w:p>
  </w:endnote>
  <w:endnote w:type="continuationSeparator" w:id="0">
    <w:p w14:paraId="0B2BFA2D" w14:textId="77777777" w:rsidR="003E1F92" w:rsidRDefault="003E1F92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241F" w14:textId="77777777" w:rsidR="003E1F92" w:rsidRDefault="003E1F92" w:rsidP="00D5128C">
      <w:pPr>
        <w:spacing w:after="0" w:line="240" w:lineRule="auto"/>
      </w:pPr>
      <w:r>
        <w:separator/>
      </w:r>
    </w:p>
  </w:footnote>
  <w:footnote w:type="continuationSeparator" w:id="0">
    <w:p w14:paraId="6D00746B" w14:textId="77777777" w:rsidR="003E1F92" w:rsidRDefault="003E1F92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4F1E"/>
    <w:multiLevelType w:val="hybridMultilevel"/>
    <w:tmpl w:val="4142F7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4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12AE7"/>
    <w:rsid w:val="00027C24"/>
    <w:rsid w:val="000327A6"/>
    <w:rsid w:val="00055524"/>
    <w:rsid w:val="00057481"/>
    <w:rsid w:val="000609AE"/>
    <w:rsid w:val="000655F9"/>
    <w:rsid w:val="00072FD0"/>
    <w:rsid w:val="00075B9D"/>
    <w:rsid w:val="000C012B"/>
    <w:rsid w:val="000D6F6D"/>
    <w:rsid w:val="000F4386"/>
    <w:rsid w:val="00105962"/>
    <w:rsid w:val="00151F81"/>
    <w:rsid w:val="001714B4"/>
    <w:rsid w:val="00177496"/>
    <w:rsid w:val="0019272A"/>
    <w:rsid w:val="001B62E5"/>
    <w:rsid w:val="001F0115"/>
    <w:rsid w:val="001F22F8"/>
    <w:rsid w:val="001F6BE0"/>
    <w:rsid w:val="00222EDB"/>
    <w:rsid w:val="002426EA"/>
    <w:rsid w:val="002435D5"/>
    <w:rsid w:val="002814E0"/>
    <w:rsid w:val="00282B91"/>
    <w:rsid w:val="00292967"/>
    <w:rsid w:val="002A442E"/>
    <w:rsid w:val="002B6B3E"/>
    <w:rsid w:val="002C2456"/>
    <w:rsid w:val="002D739C"/>
    <w:rsid w:val="002E3AB6"/>
    <w:rsid w:val="002E5564"/>
    <w:rsid w:val="002F6F40"/>
    <w:rsid w:val="0030750B"/>
    <w:rsid w:val="0032791A"/>
    <w:rsid w:val="00354B16"/>
    <w:rsid w:val="00355823"/>
    <w:rsid w:val="00393B3D"/>
    <w:rsid w:val="0039694E"/>
    <w:rsid w:val="00396F91"/>
    <w:rsid w:val="003A1465"/>
    <w:rsid w:val="003A6BD6"/>
    <w:rsid w:val="003E1F92"/>
    <w:rsid w:val="003F1EFF"/>
    <w:rsid w:val="00405F0A"/>
    <w:rsid w:val="00436DD5"/>
    <w:rsid w:val="00445E1C"/>
    <w:rsid w:val="00457001"/>
    <w:rsid w:val="00466B8A"/>
    <w:rsid w:val="00470C97"/>
    <w:rsid w:val="004A2D8C"/>
    <w:rsid w:val="004A6310"/>
    <w:rsid w:val="004A68F6"/>
    <w:rsid w:val="004F476E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855FD"/>
    <w:rsid w:val="00591757"/>
    <w:rsid w:val="0059751A"/>
    <w:rsid w:val="005A74F3"/>
    <w:rsid w:val="005A7D05"/>
    <w:rsid w:val="005E70A8"/>
    <w:rsid w:val="005F4597"/>
    <w:rsid w:val="005F6A47"/>
    <w:rsid w:val="00603421"/>
    <w:rsid w:val="00604A6A"/>
    <w:rsid w:val="00631568"/>
    <w:rsid w:val="00636694"/>
    <w:rsid w:val="00645BAD"/>
    <w:rsid w:val="00654BB5"/>
    <w:rsid w:val="00665C18"/>
    <w:rsid w:val="00670BFB"/>
    <w:rsid w:val="00680E23"/>
    <w:rsid w:val="006B0A0D"/>
    <w:rsid w:val="006B1C5C"/>
    <w:rsid w:val="006D5FF1"/>
    <w:rsid w:val="006D7768"/>
    <w:rsid w:val="006E2794"/>
    <w:rsid w:val="006E53BF"/>
    <w:rsid w:val="006F1DD0"/>
    <w:rsid w:val="006F5F1B"/>
    <w:rsid w:val="006F6E6D"/>
    <w:rsid w:val="00714AE8"/>
    <w:rsid w:val="007174D8"/>
    <w:rsid w:val="007238D5"/>
    <w:rsid w:val="00733F89"/>
    <w:rsid w:val="00747F9A"/>
    <w:rsid w:val="0076166E"/>
    <w:rsid w:val="00762BD4"/>
    <w:rsid w:val="00764684"/>
    <w:rsid w:val="00766C00"/>
    <w:rsid w:val="00766E02"/>
    <w:rsid w:val="007845FE"/>
    <w:rsid w:val="00786A6A"/>
    <w:rsid w:val="007A03CD"/>
    <w:rsid w:val="007A42C8"/>
    <w:rsid w:val="007F31C1"/>
    <w:rsid w:val="00800D0E"/>
    <w:rsid w:val="008021E3"/>
    <w:rsid w:val="0080780B"/>
    <w:rsid w:val="0083530A"/>
    <w:rsid w:val="00835876"/>
    <w:rsid w:val="00855546"/>
    <w:rsid w:val="00861894"/>
    <w:rsid w:val="008C2042"/>
    <w:rsid w:val="008E30D4"/>
    <w:rsid w:val="009320F2"/>
    <w:rsid w:val="00941D00"/>
    <w:rsid w:val="00961F44"/>
    <w:rsid w:val="009833CC"/>
    <w:rsid w:val="0099650B"/>
    <w:rsid w:val="009A5EA7"/>
    <w:rsid w:val="009B1F0C"/>
    <w:rsid w:val="009B6303"/>
    <w:rsid w:val="009B7A7C"/>
    <w:rsid w:val="009C4B02"/>
    <w:rsid w:val="009D266B"/>
    <w:rsid w:val="009D65AE"/>
    <w:rsid w:val="009E1938"/>
    <w:rsid w:val="00A22199"/>
    <w:rsid w:val="00A32C3A"/>
    <w:rsid w:val="00A406C2"/>
    <w:rsid w:val="00A773BA"/>
    <w:rsid w:val="00AA426F"/>
    <w:rsid w:val="00AB09D2"/>
    <w:rsid w:val="00AD1A78"/>
    <w:rsid w:val="00AD6B0A"/>
    <w:rsid w:val="00AE0C27"/>
    <w:rsid w:val="00AF1B26"/>
    <w:rsid w:val="00B2114B"/>
    <w:rsid w:val="00B42C31"/>
    <w:rsid w:val="00B44BEA"/>
    <w:rsid w:val="00B55D42"/>
    <w:rsid w:val="00B80FFC"/>
    <w:rsid w:val="00B81AF3"/>
    <w:rsid w:val="00B86983"/>
    <w:rsid w:val="00B93A0B"/>
    <w:rsid w:val="00BA638D"/>
    <w:rsid w:val="00BC1594"/>
    <w:rsid w:val="00BC4118"/>
    <w:rsid w:val="00BD358C"/>
    <w:rsid w:val="00BE5D08"/>
    <w:rsid w:val="00BF4B6B"/>
    <w:rsid w:val="00C80C3C"/>
    <w:rsid w:val="00CB0614"/>
    <w:rsid w:val="00CB6BF4"/>
    <w:rsid w:val="00CC3B3A"/>
    <w:rsid w:val="00CE3C88"/>
    <w:rsid w:val="00CF4EAF"/>
    <w:rsid w:val="00D00F9B"/>
    <w:rsid w:val="00D033FD"/>
    <w:rsid w:val="00D1003D"/>
    <w:rsid w:val="00D16C6C"/>
    <w:rsid w:val="00D16F46"/>
    <w:rsid w:val="00D41AA0"/>
    <w:rsid w:val="00D46BBE"/>
    <w:rsid w:val="00D5128C"/>
    <w:rsid w:val="00D52F5D"/>
    <w:rsid w:val="00D55B0D"/>
    <w:rsid w:val="00D644FE"/>
    <w:rsid w:val="00D72C62"/>
    <w:rsid w:val="00D75EE0"/>
    <w:rsid w:val="00D80BB7"/>
    <w:rsid w:val="00DA7CE9"/>
    <w:rsid w:val="00DB7C5C"/>
    <w:rsid w:val="00DE3996"/>
    <w:rsid w:val="00E00EE5"/>
    <w:rsid w:val="00E046CA"/>
    <w:rsid w:val="00E16246"/>
    <w:rsid w:val="00E22AE3"/>
    <w:rsid w:val="00E52035"/>
    <w:rsid w:val="00E60EE2"/>
    <w:rsid w:val="00E77633"/>
    <w:rsid w:val="00E91B0C"/>
    <w:rsid w:val="00EB2906"/>
    <w:rsid w:val="00EC438E"/>
    <w:rsid w:val="00F42E1B"/>
    <w:rsid w:val="00F5253B"/>
    <w:rsid w:val="00F63740"/>
    <w:rsid w:val="00F64C79"/>
    <w:rsid w:val="00F64C81"/>
    <w:rsid w:val="00F658CE"/>
    <w:rsid w:val="00F910F4"/>
    <w:rsid w:val="00FA6C6B"/>
    <w:rsid w:val="00FC15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76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Borut Močnik</cp:lastModifiedBy>
  <cp:revision>76</cp:revision>
  <cp:lastPrinted>2021-12-24T09:20:00Z</cp:lastPrinted>
  <dcterms:created xsi:type="dcterms:W3CDTF">2021-06-18T03:52:00Z</dcterms:created>
  <dcterms:modified xsi:type="dcterms:W3CDTF">2025-09-02T05:29:00Z</dcterms:modified>
</cp:coreProperties>
</file>