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5759B289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AD3185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E73B43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2475DCFE" w:rsidR="00564123" w:rsidRPr="003F3F11" w:rsidRDefault="00AD3185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E73B43">
              <w:rPr>
                <w:rFonts w:ascii="Tahoma" w:hAnsi="Tahoma" w:cs="Tahoma"/>
                <w:b/>
                <w:bCs/>
                <w:sz w:val="18"/>
                <w:szCs w:val="18"/>
              </w:rPr>
              <w:t>- ponovitev</w:t>
            </w:r>
          </w:p>
        </w:tc>
      </w:tr>
    </w:tbl>
    <w:p w14:paraId="2692ADD1" w14:textId="77777777" w:rsidR="00564123" w:rsidRDefault="00564123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39D4E265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ponudbeni predračun, v katerem upoštevajoč zahteve naročnika zapisane v razpisni dokumentaciji, poda ponudbeno ceno </w:t>
      </w:r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(na dve dicimalni mesti) </w:t>
      </w:r>
      <w:r>
        <w:rPr>
          <w:rFonts w:ascii="Tahoma" w:eastAsia="Times New Roman" w:hAnsi="Tahoma" w:cs="Tahoma"/>
          <w:bCs/>
          <w:color w:val="000000"/>
          <w:sz w:val="18"/>
          <w:szCs w:val="18"/>
        </w:rPr>
        <w:t>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564123" w14:paraId="790B47AC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1CE2B70A" w:rsidR="00564123" w:rsidRDefault="00AD3185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Harmonični skalpel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BF48D9">
        <w:trPr>
          <w:trHeight w:val="342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27AEEC8E" w14:textId="77777777" w:rsidR="00C94311" w:rsidRDefault="00C94311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4684B0E1" w14:textId="28630228" w:rsidR="00564123" w:rsidRPr="00BF48D9" w:rsidRDefault="00DC225B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 w:rsidR="00F86C63"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 w:rsidR="00F86C63">
        <w:rPr>
          <w:rFonts w:ascii="Tahoma" w:hAnsi="Tahoma" w:cs="Tahoma"/>
          <w:sz w:val="18"/>
          <w:szCs w:val="18"/>
        </w:rPr>
        <w:instrText xml:space="preserve"> FORMTEXT </w:instrText>
      </w:r>
      <w:r w:rsidR="00F86C63">
        <w:rPr>
          <w:rFonts w:ascii="Tahoma" w:hAnsi="Tahoma" w:cs="Tahoma"/>
          <w:sz w:val="18"/>
          <w:szCs w:val="18"/>
        </w:rPr>
      </w:r>
      <w:r w:rsidR="00F86C63">
        <w:rPr>
          <w:rFonts w:ascii="Tahoma" w:hAnsi="Tahoma" w:cs="Tahoma"/>
          <w:sz w:val="18"/>
          <w:szCs w:val="18"/>
        </w:rPr>
        <w:fldChar w:fldCharType="separate"/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</w:t>
      </w:r>
      <w:r w:rsidR="00057FA0">
        <w:rPr>
          <w:rFonts w:ascii="Tahoma" w:hAnsi="Tahoma" w:cs="Tahoma"/>
          <w:sz w:val="18"/>
          <w:szCs w:val="18"/>
        </w:rPr>
        <w:t xml:space="preserve"> (IZPOLNI PONUDNIK)</w:t>
      </w:r>
      <w:r>
        <w:rPr>
          <w:rFonts w:ascii="Tahoma" w:hAnsi="Tahoma" w:cs="Tahoma"/>
          <w:sz w:val="18"/>
          <w:szCs w:val="18"/>
        </w:rPr>
        <w:t>.</w:t>
      </w: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51"/>
        <w:gridCol w:w="850"/>
        <w:gridCol w:w="992"/>
        <w:gridCol w:w="993"/>
        <w:gridCol w:w="1134"/>
        <w:gridCol w:w="1134"/>
        <w:gridCol w:w="1275"/>
        <w:gridCol w:w="851"/>
        <w:gridCol w:w="992"/>
        <w:gridCol w:w="2268"/>
        <w:gridCol w:w="1985"/>
      </w:tblGrid>
      <w:tr w:rsidR="003F3F11" w:rsidRPr="00036F5D" w14:paraId="3D197E50" w14:textId="77777777" w:rsidTr="002076AD">
        <w:trPr>
          <w:trHeight w:val="125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C0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lastRenderedPageBreak/>
              <w:t>3)</w:t>
            </w: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DD2603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A07F22B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27611AF" w14:textId="236BA85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7A8D917" w14:textId="78EC8825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CD5904C" w14:textId="3C80FD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A771EB" w14:textId="5B5BA4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5C2A447" w14:textId="58BEA53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59896AC" w14:textId="45637FA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E2347D" w14:textId="382F9CA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046338" w14:textId="1AD582D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Okvirna količina</w:t>
            </w:r>
            <w:r w:rsidR="00FF2A48">
              <w:rPr>
                <w:rFonts w:ascii="Tahoma" w:hAnsi="Tahoma" w:cs="Tahoma"/>
                <w:sz w:val="16"/>
                <w:szCs w:val="16"/>
              </w:rPr>
              <w:t xml:space="preserve"> za obdobje do 18.10.2025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3F1" w14:textId="57101CB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Cena za </w:t>
            </w:r>
            <w:r w:rsidR="00037285">
              <w:rPr>
                <w:rFonts w:ascii="Tahoma" w:hAnsi="Tahoma" w:cs="Tahoma"/>
                <w:sz w:val="16"/>
                <w:szCs w:val="16"/>
              </w:rPr>
              <w:t>obdobje do 18.10.2025</w:t>
            </w:r>
            <w:r w:rsidRPr="00036F5D">
              <w:rPr>
                <w:rFonts w:ascii="Tahoma" w:hAnsi="Tahoma" w:cs="Tahoma"/>
                <w:sz w:val="16"/>
                <w:szCs w:val="16"/>
              </w:rPr>
              <w:t xml:space="preserve"> v EUR brez DDV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6444" w14:textId="3252103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Cena za </w:t>
            </w:r>
            <w:r w:rsidR="00037285">
              <w:rPr>
                <w:rFonts w:ascii="Tahoma" w:hAnsi="Tahoma" w:cs="Tahoma"/>
                <w:sz w:val="16"/>
                <w:szCs w:val="16"/>
              </w:rPr>
              <w:t xml:space="preserve">obdobje do 18.10.2025 </w:t>
            </w:r>
            <w:r w:rsidRPr="00036F5D">
              <w:rPr>
                <w:rFonts w:ascii="Tahoma" w:hAnsi="Tahoma" w:cs="Tahoma"/>
                <w:sz w:val="16"/>
                <w:szCs w:val="16"/>
              </w:rPr>
              <w:t xml:space="preserve"> v EUR z DDV</w:t>
            </w:r>
          </w:p>
        </w:tc>
      </w:tr>
      <w:tr w:rsidR="003F3F11" w:rsidRPr="00036F5D" w14:paraId="73A9B0DB" w14:textId="77777777" w:rsidTr="002076AD">
        <w:trPr>
          <w:trHeight w:val="31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BF33" w14:textId="6FC5A957" w:rsidR="00036F5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3F3F11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F990388" w14:textId="0D96A17D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C2969DA" w14:textId="19BB71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318650" w14:textId="787FE24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4C83AB" w14:textId="5D17D4F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4CF3E" w14:textId="15083FA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B7402E" w14:textId="26E87E0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88E751" w14:textId="791842F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AAB5AE" w14:textId="26161156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CE83D3" w14:textId="19D8F13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A3EEE6" w14:textId="0ACA10CB" w:rsidR="00036F5D" w:rsidRPr="007E3C9C" w:rsidRDefault="007E3C9C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EB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E5E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8F0040A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79E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Ultrazvočne škarje z ukrivljenim rezilom, istočasna koagulacija in rezanje struktur premera do vključno 7 mm, dolžine 36 cm, trije aktivacijski gumbi, neprekinjena/brezstopenjska rotacija 360 stopinj, kompatibilne s ponujenim, s tehnologijo prilagajanja tkivu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lastRenderedPageBreak/>
              <w:t>in napredno hemostazo, za enkratno uporabo</w:t>
            </w:r>
          </w:p>
          <w:p w14:paraId="78027152" w14:textId="6F46D44C" w:rsidR="00E67AB0" w:rsidRPr="00036F5D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C24683" w14:textId="70AF9F39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817BC7A" w14:textId="070D970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3B" w14:textId="2F68731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BD8" w14:textId="5514EB8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16" w14:textId="1E9BE179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E1C" w14:textId="5D25B37A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80D" w14:textId="0A6324F8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72F" w14:textId="0D680B1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B786575" w14:textId="6B7D9F4F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4D91C1D" w14:textId="06A60F4B" w:rsidR="0093206D" w:rsidRPr="007E3C9C" w:rsidRDefault="007E3C9C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982" w14:textId="4D557782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A2E" w14:textId="62D69FF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0C7D9D8E" w14:textId="77777777" w:rsidTr="002076AD">
        <w:trPr>
          <w:trHeight w:val="1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B10D" w14:textId="4BEC9229" w:rsidR="00E67AB0" w:rsidRPr="00036F5D" w:rsidRDefault="003F3F11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</w:t>
            </w:r>
            <w:r w:rsidR="00EF26F0"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7F245A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2685D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243" w14:textId="43658B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B59" w14:textId="3E7D791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90E" w14:textId="4D43331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603" w14:textId="4714ECF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52A" w14:textId="6A9C5B6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1129" w14:textId="37A3CBB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58A7F32" w14:textId="5A08A0D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3E589D" w14:textId="6278CC27" w:rsidR="00036F5D" w:rsidRPr="007E3C9C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4265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1D9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F7DA181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CC67" w14:textId="452E9776" w:rsidR="00E67AB0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3.4.</w:t>
            </w:r>
            <w:r w:rsidR="003F3F11">
              <w:t xml:space="preserve"> </w:t>
            </w:r>
            <w:r w:rsidR="003F3F11" w:rsidRPr="003F3F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Ultrazvočne škarje z ukrivljenim rezilom, istočasna koagulacija in rezanje struktur premera do vključno 7 mm, dolžine 36 cm, dva aktivacijska gumba, neprekinjena/brezstopenjska rotacija 360 stopinj, ročnik integriran v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lastRenderedPageBreak/>
              <w:t>inštrument, kompatibilen s ponujenim generatorjem, s tehnologijo prilagajanja tkivu in napredno hemostazo ter izboljšano regulacijo temperature, za enkratno uporabo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7448B78" w14:textId="5953F194" w:rsidR="003C6352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BA7704F" w14:textId="5EC3126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7F7" w14:textId="7CA6E80A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A38" w14:textId="2A20BEEC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8F17" w14:textId="45491DC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767" w14:textId="210938E9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404A" w14:textId="79D90AA6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082" w14:textId="167A7180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D48F27D" w14:textId="72610441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28B8626" w14:textId="166BF3B5" w:rsidR="003C6352" w:rsidRPr="007E3C9C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0006" w14:textId="0EED19C4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C412" w14:textId="39023A43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D0B9D85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61C6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3.5.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Endoskopska ultrazvočna disekcijska kljukica, za enega pacienta, premer 5 mm, dolžina 32 cm, sterilna, kompatibilna s ponujenim ročnikom  in generatorjem.</w:t>
            </w:r>
          </w:p>
          <w:p w14:paraId="18C744F4" w14:textId="40959BBB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FACFC63" w14:textId="02108695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A5B4134" w14:textId="517DCA9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632" w14:textId="61D2DEE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FBF" w14:textId="71BDECAD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53A" w14:textId="1E2DA1D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71" w14:textId="57A735E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BFC" w14:textId="44CB0B7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55F3" w14:textId="3C83074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E0115FB" w14:textId="09BB1A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AB51BB1" w14:textId="373AAD50" w:rsidR="003F3F11" w:rsidRPr="007E3C9C" w:rsidRDefault="007E3C9C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4985" w14:textId="73424EB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1C4E" w14:textId="51D3FC8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154D6F2E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3C2F" w14:textId="64E0C14B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3.6</w:t>
            </w:r>
            <w:r w:rsidRPr="00EF26F0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Ročnik s povezovalnim kablom za generator, za večkratno uporabo 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>(za</w:t>
            </w:r>
            <w:r w:rsidR="00433634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vsaj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9</w:t>
            </w:r>
            <w:r w:rsidR="007E3C9C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>5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uporab).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D9944B" w14:textId="670B68B1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1AC414" w14:textId="69E4C26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345E" w14:textId="08024E99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2CB" w14:textId="5B8DF60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4A7" w14:textId="70238DE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944" w14:textId="1F08D02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44B" w14:textId="3027642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557" w14:textId="723923A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359D3CC" w14:textId="151973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81F296D" w14:textId="16587516" w:rsidR="003F3F11" w:rsidRPr="007E3C9C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1F27" w14:textId="4C8CC780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BDD" w14:textId="4FCE534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C0D2DC4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4B92" w14:textId="356727D7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3.7.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Adapter za ročno aktivacijo 5mm instrumentov, za enkratno uporabo.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5F4CC53" w14:textId="2560ACD4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4F4D0B" w14:textId="0C6126D4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E02" w14:textId="061B54F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69B6" w14:textId="6196E87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60A" w14:textId="7561C0B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F44" w14:textId="422A833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12E" w14:textId="73F7EBDA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483" w14:textId="0920107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4D54E0D" w14:textId="2E24924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62025DD" w14:textId="26CECC16" w:rsidR="003F3F11" w:rsidRPr="007E3C9C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514B" w14:textId="395D226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AB6B" w14:textId="44FDCD4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</w:tbl>
    <w:p w14:paraId="0BA1CF45" w14:textId="5C1C3221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</w:t>
      </w:r>
      <w:r w:rsidR="00C94311">
        <w:rPr>
          <w:rFonts w:ascii="Tahoma" w:hAnsi="Tahoma" w:cs="Tahoma"/>
          <w:b/>
          <w:sz w:val="18"/>
          <w:szCs w:val="18"/>
        </w:rPr>
        <w:t>je.</w:t>
      </w:r>
    </w:p>
    <w:p w14:paraId="05C15878" w14:textId="5EB3AAA3" w:rsidR="00C94311" w:rsidRDefault="00C94311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Ponudnik, ki bo v katerikoli stolpec vnesel vrednost 0, bo postavko v stolpcu zagotavljal brezplačno. </w:t>
      </w:r>
    </w:p>
    <w:p w14:paraId="5654B857" w14:textId="693CB6ED" w:rsidR="0000266B" w:rsidRDefault="0000266B" w:rsidP="00BE64A7">
      <w:pPr>
        <w:pStyle w:val="Standard"/>
        <w:rPr>
          <w:rFonts w:ascii="Tahoma" w:hAnsi="Tahoma" w:cs="Tahoma"/>
          <w:b/>
          <w:bCs/>
          <w:sz w:val="18"/>
          <w:szCs w:val="18"/>
        </w:rPr>
      </w:pPr>
      <w:r w:rsidRPr="003E7E71">
        <w:rPr>
          <w:rFonts w:ascii="Tahoma" w:hAnsi="Tahoma" w:cs="Tahoma"/>
          <w:b/>
          <w:bCs/>
          <w:sz w:val="18"/>
          <w:szCs w:val="18"/>
        </w:rPr>
        <w:t xml:space="preserve">Ponudnik mora v preglednico pod točko 3 (Potrošni material) obvezno </w:t>
      </w:r>
      <w:r w:rsidR="00BE64A7" w:rsidRPr="003E7E71">
        <w:rPr>
          <w:rFonts w:ascii="Tahoma" w:hAnsi="Tahoma" w:cs="Tahoma"/>
          <w:b/>
          <w:bCs/>
          <w:sz w:val="18"/>
          <w:szCs w:val="18"/>
        </w:rPr>
        <w:t xml:space="preserve">izpolniti vse stolpce. 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0C76A" w14:textId="77777777" w:rsidR="00D929B2" w:rsidRDefault="00D929B2">
      <w:r>
        <w:separator/>
      </w:r>
    </w:p>
  </w:endnote>
  <w:endnote w:type="continuationSeparator" w:id="0">
    <w:p w14:paraId="5A808235" w14:textId="77777777" w:rsidR="00D929B2" w:rsidRDefault="00D9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ED77B" w14:textId="77777777" w:rsidR="00D929B2" w:rsidRDefault="00D929B2">
      <w:r>
        <w:rPr>
          <w:color w:val="000000"/>
        </w:rPr>
        <w:separator/>
      </w:r>
    </w:p>
  </w:footnote>
  <w:footnote w:type="continuationSeparator" w:id="0">
    <w:p w14:paraId="72D8D83B" w14:textId="77777777" w:rsidR="00D929B2" w:rsidRDefault="00D9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02516411">
    <w:abstractNumId w:val="1"/>
  </w:num>
  <w:num w:numId="2" w16cid:durableId="194583977">
    <w:abstractNumId w:val="0"/>
  </w:num>
  <w:num w:numId="3" w16cid:durableId="7107643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37285"/>
    <w:rsid w:val="000439FC"/>
    <w:rsid w:val="00057FA0"/>
    <w:rsid w:val="00095D60"/>
    <w:rsid w:val="000C3DFF"/>
    <w:rsid w:val="000F3FB7"/>
    <w:rsid w:val="00112BEB"/>
    <w:rsid w:val="00114CD6"/>
    <w:rsid w:val="0016283C"/>
    <w:rsid w:val="001E4DE5"/>
    <w:rsid w:val="002076AD"/>
    <w:rsid w:val="0024029D"/>
    <w:rsid w:val="00282A00"/>
    <w:rsid w:val="002B58B7"/>
    <w:rsid w:val="002E68E4"/>
    <w:rsid w:val="0033068C"/>
    <w:rsid w:val="003658DC"/>
    <w:rsid w:val="00377DA3"/>
    <w:rsid w:val="0039127E"/>
    <w:rsid w:val="003B1BDC"/>
    <w:rsid w:val="003B4BCD"/>
    <w:rsid w:val="003C6352"/>
    <w:rsid w:val="003E7E71"/>
    <w:rsid w:val="003F3F11"/>
    <w:rsid w:val="00433634"/>
    <w:rsid w:val="004360C8"/>
    <w:rsid w:val="004653D2"/>
    <w:rsid w:val="00487658"/>
    <w:rsid w:val="004921F6"/>
    <w:rsid w:val="00497062"/>
    <w:rsid w:val="004A0508"/>
    <w:rsid w:val="004B6F01"/>
    <w:rsid w:val="00501C84"/>
    <w:rsid w:val="00505D86"/>
    <w:rsid w:val="00506D05"/>
    <w:rsid w:val="005333BD"/>
    <w:rsid w:val="00564123"/>
    <w:rsid w:val="00571D84"/>
    <w:rsid w:val="00600A7F"/>
    <w:rsid w:val="00607FFD"/>
    <w:rsid w:val="00673900"/>
    <w:rsid w:val="006E0182"/>
    <w:rsid w:val="006F7A66"/>
    <w:rsid w:val="007242B3"/>
    <w:rsid w:val="00785979"/>
    <w:rsid w:val="007B50B5"/>
    <w:rsid w:val="007E3C9C"/>
    <w:rsid w:val="007F36A8"/>
    <w:rsid w:val="007F59C4"/>
    <w:rsid w:val="008110FF"/>
    <w:rsid w:val="008373D5"/>
    <w:rsid w:val="0086528C"/>
    <w:rsid w:val="0093206D"/>
    <w:rsid w:val="00932C30"/>
    <w:rsid w:val="00935B08"/>
    <w:rsid w:val="00950C53"/>
    <w:rsid w:val="009A7EB7"/>
    <w:rsid w:val="009D5CDD"/>
    <w:rsid w:val="00A63191"/>
    <w:rsid w:val="00A85A57"/>
    <w:rsid w:val="00AD3185"/>
    <w:rsid w:val="00AD4049"/>
    <w:rsid w:val="00B57AD6"/>
    <w:rsid w:val="00B87F85"/>
    <w:rsid w:val="00B90A09"/>
    <w:rsid w:val="00BA6800"/>
    <w:rsid w:val="00BB7AFE"/>
    <w:rsid w:val="00BC2BF2"/>
    <w:rsid w:val="00BE64A7"/>
    <w:rsid w:val="00BF48D9"/>
    <w:rsid w:val="00C16607"/>
    <w:rsid w:val="00C300AA"/>
    <w:rsid w:val="00C52422"/>
    <w:rsid w:val="00C5554E"/>
    <w:rsid w:val="00C70E7A"/>
    <w:rsid w:val="00C80E61"/>
    <w:rsid w:val="00C8620A"/>
    <w:rsid w:val="00C94311"/>
    <w:rsid w:val="00C95A4C"/>
    <w:rsid w:val="00CD6528"/>
    <w:rsid w:val="00CF117F"/>
    <w:rsid w:val="00CF78CE"/>
    <w:rsid w:val="00D0353F"/>
    <w:rsid w:val="00D929B2"/>
    <w:rsid w:val="00DB2036"/>
    <w:rsid w:val="00DC225B"/>
    <w:rsid w:val="00DD29F9"/>
    <w:rsid w:val="00DD7600"/>
    <w:rsid w:val="00E016EB"/>
    <w:rsid w:val="00E02DED"/>
    <w:rsid w:val="00E61B8B"/>
    <w:rsid w:val="00E6612E"/>
    <w:rsid w:val="00E67AB0"/>
    <w:rsid w:val="00E73B43"/>
    <w:rsid w:val="00E7737B"/>
    <w:rsid w:val="00EE04A5"/>
    <w:rsid w:val="00EF26F0"/>
    <w:rsid w:val="00F41D07"/>
    <w:rsid w:val="00F5524D"/>
    <w:rsid w:val="00F82CEB"/>
    <w:rsid w:val="00F86C63"/>
    <w:rsid w:val="00F927F2"/>
    <w:rsid w:val="00FD7E56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4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41</cp:revision>
  <cp:lastPrinted>2023-11-16T12:40:00Z</cp:lastPrinted>
  <dcterms:created xsi:type="dcterms:W3CDTF">2024-03-25T12:39:00Z</dcterms:created>
  <dcterms:modified xsi:type="dcterms:W3CDTF">2024-12-12T06:50:00Z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