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355EC4AF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3D4AB0">
              <w:t>40/2025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1648DA04" w:rsidR="00454761" w:rsidRDefault="003D4AB0" w:rsidP="003D4AB0">
            <w:pPr>
              <w:widowControl w:val="0"/>
              <w:spacing w:after="0" w:line="240" w:lineRule="auto"/>
              <w:ind w:left="708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M</w:t>
            </w:r>
            <w:r w:rsidRPr="003D4AB0">
              <w:rPr>
                <w:rFonts w:ascii="Tahoma" w:eastAsia="Calibri" w:hAnsi="Tahoma" w:cs="Tahoma"/>
                <w:b/>
                <w:sz w:val="18"/>
                <w:szCs w:val="18"/>
              </w:rPr>
              <w:t>onitor za nadzor globine anestezije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7513566">
    <w:abstractNumId w:val="0"/>
  </w:num>
  <w:num w:numId="2" w16cid:durableId="141165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3D4AB0"/>
    <w:rsid w:val="00454761"/>
    <w:rsid w:val="006F7C65"/>
    <w:rsid w:val="00957B15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9</cp:revision>
  <dcterms:created xsi:type="dcterms:W3CDTF">2020-12-10T07:39:00Z</dcterms:created>
  <dcterms:modified xsi:type="dcterms:W3CDTF">2025-11-24T07:56:00Z</dcterms:modified>
  <dc:language>sl-SI</dc:language>
</cp:coreProperties>
</file>