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 w:rsidTr="00D00B77">
        <w:trPr>
          <w:trHeight w:val="938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72268864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D00B77">
              <w:rPr>
                <w:rFonts w:ascii="Tahoma" w:eastAsia="Calibri" w:hAnsi="Tahoma" w:cs="Tahoma"/>
                <w:sz w:val="20"/>
                <w:szCs w:val="20"/>
              </w:rPr>
              <w:t>49/2023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371BC1A2" w:rsidR="0078359F" w:rsidRDefault="00E7469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74696">
              <w:rPr>
                <w:rFonts w:ascii="Tahoma" w:eastAsia="Calibri" w:hAnsi="Tahoma" w:cs="Tahoma"/>
                <w:b/>
                <w:sz w:val="20"/>
                <w:szCs w:val="20"/>
              </w:rPr>
              <w:t>»Gradbeno obrtniško instalacijska dela (GOI) za magnetno resonanco (MR)«</w:t>
            </w:r>
            <w:bookmarkStart w:id="0" w:name="_GoBack"/>
            <w:bookmarkEnd w:id="0"/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D00B77"/>
    <w:rsid w:val="00E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29CB-EE64-47F8-BA1F-4139106E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2023-09-29T11:25:00Z</dcterms:modified>
  <dc:language>sl-SI</dc:language>
</cp:coreProperties>
</file>