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791A" w14:textId="22D4A132" w:rsidR="000E1B23" w:rsidRPr="000E1B23" w:rsidRDefault="000E1B23" w:rsidP="000E1B23">
      <w:pPr>
        <w:suppressAutoHyphens w:val="0"/>
        <w:spacing w:after="0" w:line="240" w:lineRule="auto"/>
        <w:jc w:val="center"/>
        <w:rPr>
          <w:rFonts w:ascii="Tahoma" w:eastAsia="Calibri" w:hAnsi="Tahoma" w:cs="Tahoma"/>
          <w:b/>
          <w:sz w:val="18"/>
          <w:szCs w:val="18"/>
        </w:rPr>
      </w:pPr>
      <w:r>
        <w:rPr>
          <w:rFonts w:ascii="Tahoma" w:eastAsia="Calibri" w:hAnsi="Tahoma" w:cs="Tahoma"/>
          <w:b/>
          <w:sz w:val="18"/>
          <w:szCs w:val="18"/>
        </w:rPr>
        <w:t>SPECIFIKACIJE</w:t>
      </w:r>
    </w:p>
    <w:p w14:paraId="13F2521C" w14:textId="77777777" w:rsidR="000E1B23" w:rsidRDefault="000E1B23" w:rsidP="000E1B23">
      <w:pPr>
        <w:suppressAutoHyphens w:val="0"/>
        <w:spacing w:after="0" w:line="240" w:lineRule="auto"/>
        <w:jc w:val="both"/>
        <w:rPr>
          <w:rFonts w:ascii="Tahoma" w:eastAsia="Calibri" w:hAnsi="Tahoma" w:cs="Tahoma"/>
          <w:b/>
          <w:sz w:val="18"/>
          <w:szCs w:val="18"/>
        </w:rPr>
      </w:pPr>
    </w:p>
    <w:p w14:paraId="301EC476" w14:textId="77777777" w:rsidR="000E1B23" w:rsidRDefault="000E1B23" w:rsidP="000E1B23">
      <w:pPr>
        <w:suppressAutoHyphens w:val="0"/>
        <w:spacing w:after="0" w:line="240" w:lineRule="auto"/>
        <w:jc w:val="both"/>
        <w:rPr>
          <w:rFonts w:ascii="Tahoma" w:eastAsia="Calibri" w:hAnsi="Tahoma" w:cs="Tahoma"/>
          <w:b/>
          <w:sz w:val="18"/>
          <w:szCs w:val="18"/>
        </w:rPr>
      </w:pPr>
    </w:p>
    <w:p w14:paraId="45D1C465" w14:textId="5244AFF2" w:rsidR="000E1B23" w:rsidRPr="000E1B23" w:rsidRDefault="000E1B23" w:rsidP="000E1B23">
      <w:pPr>
        <w:suppressAutoHyphens w:val="0"/>
        <w:spacing w:after="0" w:line="240" w:lineRule="auto"/>
        <w:jc w:val="both"/>
        <w:rPr>
          <w:rFonts w:ascii="Tahoma" w:eastAsia="Calibri" w:hAnsi="Tahoma" w:cs="Tahoma"/>
          <w:b/>
          <w:sz w:val="18"/>
          <w:szCs w:val="18"/>
        </w:rPr>
      </w:pPr>
      <w:r w:rsidRPr="000E1B23">
        <w:rPr>
          <w:rFonts w:ascii="Tahoma" w:eastAsia="Calibri" w:hAnsi="Tahoma" w:cs="Tahoma"/>
          <w:b/>
          <w:sz w:val="18"/>
          <w:szCs w:val="18"/>
        </w:rPr>
        <w:t>PODATKI O JAVNEM NAROČILU</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042"/>
        <w:gridCol w:w="6097"/>
      </w:tblGrid>
      <w:tr w:rsidR="000E1B23" w:rsidRPr="000E1B23" w14:paraId="062EEDB0" w14:textId="77777777" w:rsidTr="00C8501D">
        <w:trPr>
          <w:trHeight w:val="246"/>
        </w:trPr>
        <w:tc>
          <w:tcPr>
            <w:tcW w:w="9139" w:type="dxa"/>
            <w:gridSpan w:val="2"/>
            <w:shd w:val="clear" w:color="auto" w:fill="99CC00"/>
            <w:vAlign w:val="center"/>
          </w:tcPr>
          <w:p w14:paraId="1B682A64" w14:textId="77777777" w:rsidR="000E1B23" w:rsidRPr="000E1B23" w:rsidRDefault="000E1B23" w:rsidP="000E1B23">
            <w:pPr>
              <w:suppressAutoHyphens w:val="0"/>
              <w:spacing w:after="0" w:line="240" w:lineRule="auto"/>
              <w:rPr>
                <w:rFonts w:ascii="Tahoma" w:eastAsia="Calibri" w:hAnsi="Tahoma" w:cs="Tahoma"/>
                <w:sz w:val="18"/>
                <w:szCs w:val="18"/>
              </w:rPr>
            </w:pPr>
            <w:r w:rsidRPr="000E1B23">
              <w:rPr>
                <w:rFonts w:ascii="Tahoma" w:eastAsia="Calibri" w:hAnsi="Tahoma" w:cs="Tahoma"/>
                <w:b/>
                <w:sz w:val="18"/>
                <w:szCs w:val="18"/>
              </w:rPr>
              <w:t>Javno naročilo</w:t>
            </w:r>
          </w:p>
        </w:tc>
      </w:tr>
      <w:tr w:rsidR="000E1B23" w:rsidRPr="000E1B23" w14:paraId="2A70B8DD" w14:textId="77777777" w:rsidTr="00C8501D">
        <w:trPr>
          <w:trHeight w:val="707"/>
        </w:trPr>
        <w:tc>
          <w:tcPr>
            <w:tcW w:w="3042" w:type="dxa"/>
            <w:shd w:val="clear" w:color="auto" w:fill="99CC00"/>
            <w:vAlign w:val="center"/>
          </w:tcPr>
          <w:p w14:paraId="5161249F"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t>Naročnik</w:t>
            </w:r>
          </w:p>
        </w:tc>
        <w:tc>
          <w:tcPr>
            <w:tcW w:w="6097" w:type="dxa"/>
            <w:shd w:val="clear" w:color="auto" w:fill="auto"/>
            <w:vAlign w:val="center"/>
          </w:tcPr>
          <w:p w14:paraId="16C6BDA2"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fldChar w:fldCharType="begin"/>
            </w:r>
            <w:r w:rsidRPr="000E1B23">
              <w:rPr>
                <w:rFonts w:ascii="Tahoma" w:eastAsia="Calibri" w:hAnsi="Tahoma" w:cs="Tahoma"/>
                <w:b/>
                <w:sz w:val="18"/>
                <w:szCs w:val="18"/>
              </w:rPr>
              <w:instrText xml:space="preserve"> DOCPROPERTY  "MFiles_P1021n1_P0"  \* MERGEFORMAT </w:instrText>
            </w:r>
            <w:r w:rsidRPr="000E1B23">
              <w:rPr>
                <w:rFonts w:ascii="Tahoma" w:eastAsia="Calibri" w:hAnsi="Tahoma" w:cs="Tahoma"/>
                <w:b/>
                <w:sz w:val="18"/>
                <w:szCs w:val="18"/>
              </w:rPr>
              <w:fldChar w:fldCharType="separate"/>
            </w:r>
            <w:r w:rsidRPr="000E1B23">
              <w:rPr>
                <w:rFonts w:ascii="Tahoma" w:eastAsia="Calibri" w:hAnsi="Tahoma" w:cs="Tahoma"/>
                <w:b/>
                <w:sz w:val="18"/>
                <w:szCs w:val="18"/>
              </w:rPr>
              <w:t>Splošna bolnišnica dr. Franca Derganca Nova Gorica</w:t>
            </w:r>
            <w:r w:rsidRPr="000E1B23">
              <w:rPr>
                <w:rFonts w:ascii="Tahoma" w:eastAsia="Calibri" w:hAnsi="Tahoma" w:cs="Tahoma"/>
                <w:b/>
                <w:sz w:val="18"/>
                <w:szCs w:val="18"/>
              </w:rPr>
              <w:fldChar w:fldCharType="end"/>
            </w:r>
          </w:p>
          <w:p w14:paraId="6165A978"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fldChar w:fldCharType="begin"/>
            </w:r>
            <w:r w:rsidRPr="000E1B23">
              <w:rPr>
                <w:rFonts w:ascii="Tahoma" w:eastAsia="Calibri" w:hAnsi="Tahoma" w:cs="Tahoma"/>
                <w:b/>
                <w:sz w:val="18"/>
                <w:szCs w:val="18"/>
              </w:rPr>
              <w:instrText xml:space="preserve"> DOCPROPERTY  "MFiles_P1021n1_P1033"  \* MERGEFORMAT </w:instrText>
            </w:r>
            <w:r w:rsidRPr="000E1B23">
              <w:rPr>
                <w:rFonts w:ascii="Tahoma" w:eastAsia="Calibri" w:hAnsi="Tahoma" w:cs="Tahoma"/>
                <w:b/>
                <w:sz w:val="18"/>
                <w:szCs w:val="18"/>
              </w:rPr>
              <w:fldChar w:fldCharType="separate"/>
            </w:r>
            <w:r w:rsidRPr="000E1B23">
              <w:rPr>
                <w:rFonts w:ascii="Tahoma" w:eastAsia="Calibri" w:hAnsi="Tahoma" w:cs="Tahoma"/>
                <w:b/>
                <w:sz w:val="18"/>
                <w:szCs w:val="18"/>
              </w:rPr>
              <w:t>Ulica padlih borcev 13A</w:t>
            </w:r>
            <w:r w:rsidRPr="000E1B23">
              <w:rPr>
                <w:rFonts w:ascii="Tahoma" w:eastAsia="Calibri" w:hAnsi="Tahoma" w:cs="Tahoma"/>
                <w:b/>
                <w:sz w:val="18"/>
                <w:szCs w:val="18"/>
              </w:rPr>
              <w:fldChar w:fldCharType="end"/>
            </w:r>
          </w:p>
          <w:p w14:paraId="14235496"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fldChar w:fldCharType="begin"/>
            </w:r>
            <w:r w:rsidRPr="000E1B23">
              <w:rPr>
                <w:rFonts w:ascii="Tahoma" w:eastAsia="Calibri" w:hAnsi="Tahoma" w:cs="Tahoma"/>
                <w:b/>
                <w:sz w:val="18"/>
                <w:szCs w:val="18"/>
              </w:rPr>
              <w:instrText xml:space="preserve"> DOCPROPERTY  "MFiles_PG5BC2FC14A405421BA79F5FEC63BD00E3n1_PGB3D8D77D2D654902AEB821305A1A12BC"  \* MERGEFORMAT </w:instrText>
            </w:r>
            <w:r w:rsidRPr="000E1B23">
              <w:rPr>
                <w:rFonts w:ascii="Tahoma" w:eastAsia="Calibri" w:hAnsi="Tahoma" w:cs="Tahoma"/>
                <w:b/>
                <w:sz w:val="18"/>
                <w:szCs w:val="18"/>
              </w:rPr>
              <w:fldChar w:fldCharType="separate"/>
            </w:r>
            <w:r w:rsidRPr="000E1B23">
              <w:rPr>
                <w:rFonts w:ascii="Tahoma" w:eastAsia="Calibri" w:hAnsi="Tahoma" w:cs="Tahoma"/>
                <w:b/>
                <w:sz w:val="18"/>
                <w:szCs w:val="18"/>
              </w:rPr>
              <w:t>5290 Šempeter pri Gorici</w:t>
            </w:r>
            <w:r w:rsidRPr="000E1B23">
              <w:rPr>
                <w:rFonts w:ascii="Tahoma" w:eastAsia="Calibri" w:hAnsi="Tahoma" w:cs="Tahoma"/>
                <w:b/>
                <w:sz w:val="18"/>
                <w:szCs w:val="18"/>
              </w:rPr>
              <w:fldChar w:fldCharType="end"/>
            </w:r>
          </w:p>
        </w:tc>
      </w:tr>
      <w:tr w:rsidR="000E1B23" w:rsidRPr="000E1B23" w14:paraId="343F4819" w14:textId="77777777" w:rsidTr="00C8501D">
        <w:trPr>
          <w:trHeight w:val="246"/>
        </w:trPr>
        <w:tc>
          <w:tcPr>
            <w:tcW w:w="3042" w:type="dxa"/>
            <w:shd w:val="clear" w:color="auto" w:fill="99CC00"/>
            <w:vAlign w:val="center"/>
          </w:tcPr>
          <w:p w14:paraId="4170BCDE"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t>Oznaka javnega naročila</w:t>
            </w:r>
          </w:p>
        </w:tc>
        <w:tc>
          <w:tcPr>
            <w:tcW w:w="6097" w:type="dxa"/>
            <w:shd w:val="clear" w:color="auto" w:fill="auto"/>
            <w:vAlign w:val="center"/>
          </w:tcPr>
          <w:p w14:paraId="1D0A6E89" w14:textId="2F2F1DCB" w:rsidR="000E1B23" w:rsidRPr="000E1B23" w:rsidRDefault="000E1B23" w:rsidP="000E1B23">
            <w:pPr>
              <w:suppressAutoHyphens w:val="0"/>
              <w:spacing w:after="0" w:line="240" w:lineRule="auto"/>
              <w:rPr>
                <w:rFonts w:ascii="Tahoma" w:eastAsia="Calibri" w:hAnsi="Tahoma" w:cs="Tahoma"/>
                <w:b/>
                <w:bCs/>
                <w:sz w:val="18"/>
                <w:szCs w:val="18"/>
              </w:rPr>
            </w:pPr>
            <w:r w:rsidRPr="000E1B23">
              <w:rPr>
                <w:rFonts w:ascii="Tahoma" w:eastAsia="Calibri" w:hAnsi="Tahoma" w:cs="Tahoma"/>
                <w:b/>
                <w:bCs/>
                <w:sz w:val="18"/>
                <w:szCs w:val="18"/>
              </w:rPr>
              <w:t>275-</w:t>
            </w:r>
            <w:r w:rsidR="0047791D">
              <w:rPr>
                <w:rFonts w:ascii="Tahoma" w:eastAsia="Calibri" w:hAnsi="Tahoma" w:cs="Tahoma"/>
                <w:b/>
                <w:bCs/>
                <w:sz w:val="18"/>
                <w:szCs w:val="18"/>
              </w:rPr>
              <w:t>2</w:t>
            </w:r>
            <w:r w:rsidRPr="000E1B23">
              <w:rPr>
                <w:rFonts w:ascii="Tahoma" w:eastAsia="Calibri" w:hAnsi="Tahoma" w:cs="Tahoma"/>
                <w:b/>
                <w:bCs/>
                <w:sz w:val="18"/>
                <w:szCs w:val="18"/>
              </w:rPr>
              <w:t>/2025</w:t>
            </w:r>
            <w:r w:rsidRPr="000E1B23">
              <w:rPr>
                <w:rFonts w:ascii="Tahoma" w:eastAsia="Calibri" w:hAnsi="Tahoma" w:cs="Tahoma"/>
                <w:b/>
                <w:bCs/>
                <w:sz w:val="18"/>
                <w:szCs w:val="18"/>
              </w:rPr>
              <w:fldChar w:fldCharType="begin"/>
            </w:r>
            <w:r w:rsidRPr="000E1B23">
              <w:rPr>
                <w:rFonts w:ascii="Tahoma" w:eastAsia="Calibri" w:hAnsi="Tahoma" w:cs="Tahoma"/>
                <w:b/>
                <w:bCs/>
                <w:sz w:val="18"/>
                <w:szCs w:val="18"/>
              </w:rPr>
              <w:instrText xml:space="preserve"> DOCPROPERTY  "MFiles_P1045"  \* MERGEFORMAT </w:instrText>
            </w:r>
            <w:r w:rsidRPr="000E1B23">
              <w:rPr>
                <w:rFonts w:ascii="Tahoma" w:eastAsia="Calibri" w:hAnsi="Tahoma" w:cs="Tahoma"/>
                <w:b/>
                <w:bCs/>
                <w:sz w:val="18"/>
                <w:szCs w:val="18"/>
              </w:rPr>
              <w:fldChar w:fldCharType="end"/>
            </w:r>
          </w:p>
        </w:tc>
      </w:tr>
      <w:tr w:rsidR="000E1B23" w:rsidRPr="000E1B23" w14:paraId="3A3B5A93" w14:textId="77777777" w:rsidTr="0047791D">
        <w:trPr>
          <w:trHeight w:val="242"/>
        </w:trPr>
        <w:tc>
          <w:tcPr>
            <w:tcW w:w="3042" w:type="dxa"/>
            <w:shd w:val="clear" w:color="auto" w:fill="99CC00"/>
            <w:vAlign w:val="center"/>
          </w:tcPr>
          <w:p w14:paraId="7ABDC81C" w14:textId="77777777"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Calibri" w:hAnsi="Tahoma" w:cs="Tahoma"/>
                <w:b/>
                <w:sz w:val="18"/>
                <w:szCs w:val="18"/>
              </w:rPr>
              <w:t>Predmet javnega naročila</w:t>
            </w:r>
          </w:p>
        </w:tc>
        <w:tc>
          <w:tcPr>
            <w:tcW w:w="6097" w:type="dxa"/>
            <w:shd w:val="clear" w:color="auto" w:fill="auto"/>
            <w:vAlign w:val="center"/>
          </w:tcPr>
          <w:p w14:paraId="5DB2E2FD" w14:textId="0D2FFBA2" w:rsidR="000E1B23" w:rsidRPr="0047791D" w:rsidRDefault="000E1B23" w:rsidP="000E1B23">
            <w:pPr>
              <w:suppressAutoHyphens w:val="0"/>
              <w:spacing w:after="0" w:line="240" w:lineRule="auto"/>
              <w:rPr>
                <w:rFonts w:ascii="Tahoma" w:eastAsia="HG Mincho Light J" w:hAnsi="Tahoma" w:cs="Tahoma"/>
                <w:b/>
                <w:bCs/>
                <w:color w:val="000000"/>
                <w:sz w:val="18"/>
                <w:szCs w:val="18"/>
                <w:lang w:eastAsia="ar-SA"/>
              </w:rPr>
            </w:pPr>
            <w:r w:rsidRPr="000E1B23">
              <w:rPr>
                <w:rFonts w:ascii="Tahoma" w:eastAsia="HG Mincho Light J" w:hAnsi="Tahoma" w:cs="Tahoma"/>
                <w:b/>
                <w:bCs/>
                <w:color w:val="000000"/>
                <w:sz w:val="18"/>
                <w:szCs w:val="18"/>
                <w:lang w:eastAsia="ar-SA"/>
              </w:rPr>
              <w:t>Vzdrževanje in servisiranje dvigal</w:t>
            </w:r>
            <w:r w:rsidR="0047791D" w:rsidRPr="000E1B23">
              <w:rPr>
                <w:rFonts w:ascii="Tahoma" w:eastAsia="HG Mincho Light J" w:hAnsi="Tahoma" w:cs="Tahoma"/>
                <w:color w:val="000000"/>
                <w:sz w:val="18"/>
                <w:szCs w:val="18"/>
                <w:lang w:eastAsia="ar-SA"/>
              </w:rPr>
              <w:t xml:space="preserve"> </w:t>
            </w:r>
            <w:r w:rsidR="0047791D" w:rsidRPr="0047791D">
              <w:rPr>
                <w:rFonts w:ascii="Tahoma" w:eastAsia="HG Mincho Light J" w:hAnsi="Tahoma" w:cs="Tahoma"/>
                <w:b/>
                <w:bCs/>
                <w:color w:val="000000"/>
                <w:sz w:val="18"/>
                <w:szCs w:val="18"/>
                <w:lang w:eastAsia="ar-SA"/>
              </w:rPr>
              <w:t>Thyssenkrupp</w:t>
            </w:r>
          </w:p>
          <w:p w14:paraId="49C2336B" w14:textId="04D52E34" w:rsidR="000E1B23" w:rsidRPr="000E1B23" w:rsidRDefault="000E1B23" w:rsidP="000E1B23">
            <w:pPr>
              <w:suppressAutoHyphens w:val="0"/>
              <w:spacing w:after="0" w:line="240" w:lineRule="auto"/>
              <w:rPr>
                <w:rFonts w:ascii="Tahoma" w:eastAsia="Calibri" w:hAnsi="Tahoma" w:cs="Tahoma"/>
                <w:b/>
                <w:sz w:val="18"/>
                <w:szCs w:val="18"/>
              </w:rPr>
            </w:pPr>
            <w:r w:rsidRPr="000E1B23">
              <w:rPr>
                <w:rFonts w:ascii="Tahoma" w:eastAsia="HG Mincho Light J" w:hAnsi="Tahoma" w:cs="Tahoma"/>
                <w:color w:val="000000"/>
                <w:sz w:val="18"/>
                <w:szCs w:val="18"/>
                <w:lang w:eastAsia="ar-SA"/>
              </w:rPr>
              <w:t xml:space="preserve"> </w:t>
            </w:r>
          </w:p>
        </w:tc>
      </w:tr>
    </w:tbl>
    <w:p w14:paraId="5B3404BC" w14:textId="77777777" w:rsidR="000E1B23" w:rsidRDefault="000E1B23">
      <w:pPr>
        <w:spacing w:after="0" w:line="240" w:lineRule="auto"/>
        <w:jc w:val="both"/>
        <w:rPr>
          <w:rFonts w:ascii="Tahoma" w:eastAsia="HG Mincho Light J" w:hAnsi="Tahoma" w:cs="Tahoma"/>
          <w:sz w:val="20"/>
          <w:szCs w:val="20"/>
          <w:lang w:eastAsia="sl-SI"/>
        </w:rPr>
      </w:pPr>
    </w:p>
    <w:p w14:paraId="6E835CC8" w14:textId="1296872B" w:rsidR="00ED5838"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Predmet javnega naročila je vzdrževanje in servisiranje dvigal skladno s Pravilnikom o varnosti dvigal (Ur.l. RS št. </w:t>
      </w:r>
      <w:r w:rsidR="008C0326">
        <w:rPr>
          <w:rFonts w:ascii="Tahoma" w:eastAsia="HG Mincho Light J" w:hAnsi="Tahoma" w:cs="Tahoma"/>
          <w:sz w:val="18"/>
          <w:szCs w:val="18"/>
          <w:lang w:eastAsia="sl-SI"/>
        </w:rPr>
        <w:t>44/24</w:t>
      </w:r>
      <w:r w:rsidRPr="000E1B23">
        <w:rPr>
          <w:rFonts w:ascii="Tahoma" w:eastAsia="HG Mincho Light J" w:hAnsi="Tahoma" w:cs="Tahoma"/>
          <w:sz w:val="18"/>
          <w:szCs w:val="18"/>
          <w:lang w:eastAsia="sl-SI"/>
        </w:rPr>
        <w:t xml:space="preserve"> ) in drugimi  veljavnimi predpisi, standardi in normativi ter dobro prakso in sicer je predmet javnega naročila:</w:t>
      </w:r>
    </w:p>
    <w:p w14:paraId="3E13A465" w14:textId="77777777" w:rsidR="00ED5838" w:rsidRDefault="00ED5838" w:rsidP="000E1B23">
      <w:pPr>
        <w:spacing w:after="0" w:line="240" w:lineRule="auto"/>
        <w:jc w:val="both"/>
        <w:rPr>
          <w:rFonts w:ascii="Tahoma" w:eastAsia="HG Mincho Light J" w:hAnsi="Tahoma" w:cs="Tahoma"/>
          <w:sz w:val="18"/>
          <w:szCs w:val="18"/>
          <w:lang w:eastAsia="sl-SI"/>
        </w:rPr>
      </w:pPr>
    </w:p>
    <w:p w14:paraId="100FD9C7" w14:textId="33CC333F" w:rsidR="000E1B23" w:rsidRPr="0092636C" w:rsidRDefault="000E1B23" w:rsidP="000E1B23">
      <w:pPr>
        <w:spacing w:after="0" w:line="240" w:lineRule="auto"/>
        <w:jc w:val="both"/>
        <w:rPr>
          <w:rFonts w:ascii="Tahoma" w:eastAsia="HG Mincho Light J" w:hAnsi="Tahoma" w:cs="Tahoma"/>
          <w:sz w:val="18"/>
          <w:szCs w:val="18"/>
          <w:lang w:eastAsia="sl-SI"/>
        </w:rPr>
      </w:pPr>
      <w:r w:rsidRPr="0092636C">
        <w:rPr>
          <w:rFonts w:ascii="Tahoma" w:eastAsia="HG Mincho Light J" w:hAnsi="Tahoma" w:cs="Tahoma"/>
          <w:sz w:val="18"/>
          <w:szCs w:val="18"/>
          <w:lang w:eastAsia="sl-SI"/>
        </w:rPr>
        <w:t>Vzdrževanje in servisiranje dvigal Thyssenkrupp.</w:t>
      </w:r>
    </w:p>
    <w:p w14:paraId="3BD27FFB" w14:textId="77777777" w:rsidR="000E1B23" w:rsidRPr="0092636C" w:rsidRDefault="000E1B23" w:rsidP="000E1B23">
      <w:pPr>
        <w:spacing w:after="0" w:line="240" w:lineRule="auto"/>
        <w:jc w:val="both"/>
        <w:rPr>
          <w:rFonts w:ascii="Tahoma" w:eastAsia="HG Mincho Light J" w:hAnsi="Tahoma" w:cs="Tahoma"/>
          <w:sz w:val="18"/>
          <w:szCs w:val="18"/>
          <w:lang w:eastAsia="sl-SI"/>
        </w:rPr>
      </w:pPr>
    </w:p>
    <w:p w14:paraId="35A6715F" w14:textId="3BD6BB53"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Predmet javnega naročila zajema </w:t>
      </w:r>
    </w:p>
    <w:p w14:paraId="4D58194F"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ad1) storitve rednega mesečnega vzdrževanja, vključno z odpravljanjem napak in poškodb naprav, zamenjavo obrabljenih  in pokvarjenih elementov, zagotavljanjem rezervnih delov,</w:t>
      </w:r>
    </w:p>
    <w:p w14:paraId="47CFD6B2"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ad2) druge servisne storitve izven rednega mesečnega vzdrževanja vključno z odpravljanjem napak in poškodb naprav, zamenjavo obrabljenih  in pokvarjenih elementov, zagotavljanjem rezervnih delov, ipd. </w:t>
      </w:r>
    </w:p>
    <w:p w14:paraId="0B6C5331"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ad3) sodelovanje pri letnem tehničnem pregledu oz. preskusu dvigal </w:t>
      </w:r>
    </w:p>
    <w:p w14:paraId="4AB4EAC0" w14:textId="77777777" w:rsidR="00B376EF" w:rsidRPr="000E1B23" w:rsidRDefault="00B376EF" w:rsidP="000E1B23">
      <w:pPr>
        <w:spacing w:after="0" w:line="240" w:lineRule="auto"/>
        <w:jc w:val="both"/>
        <w:rPr>
          <w:rFonts w:ascii="Tahoma" w:eastAsia="HG Mincho Light J" w:hAnsi="Tahoma" w:cs="Tahoma"/>
          <w:sz w:val="18"/>
          <w:szCs w:val="18"/>
          <w:lang w:eastAsia="sl-SI"/>
        </w:rPr>
      </w:pPr>
    </w:p>
    <w:p w14:paraId="4B91A5BB" w14:textId="77777777" w:rsidR="001F27D4" w:rsidRPr="000E1B23" w:rsidRDefault="000E1B23" w:rsidP="000E1B23">
      <w:pPr>
        <w:jc w:val="both"/>
        <w:rPr>
          <w:rFonts w:ascii="Tahoma" w:hAnsi="Tahoma" w:cs="Tahoma"/>
          <w:b/>
          <w:sz w:val="18"/>
          <w:szCs w:val="18"/>
        </w:rPr>
      </w:pPr>
      <w:r w:rsidRPr="000E1B23">
        <w:rPr>
          <w:rFonts w:ascii="Tahoma" w:hAnsi="Tahoma" w:cs="Tahoma"/>
          <w:b/>
          <w:sz w:val="18"/>
          <w:szCs w:val="18"/>
        </w:rPr>
        <w:t>Opis in zahteve naročnika</w:t>
      </w:r>
    </w:p>
    <w:p w14:paraId="2D8FC1DD" w14:textId="77777777" w:rsidR="001F27D4" w:rsidRPr="000E1B23" w:rsidRDefault="000E1B23" w:rsidP="000E1B23">
      <w:pPr>
        <w:spacing w:after="0" w:line="240" w:lineRule="auto"/>
        <w:jc w:val="both"/>
        <w:rPr>
          <w:rFonts w:ascii="Tahoma" w:eastAsia="HG Mincho Light J" w:hAnsi="Tahoma" w:cs="Tahoma"/>
          <w:b/>
          <w:bCs/>
          <w:sz w:val="18"/>
          <w:szCs w:val="18"/>
          <w:lang w:eastAsia="sl-SI"/>
        </w:rPr>
      </w:pPr>
      <w:r w:rsidRPr="000E1B23">
        <w:rPr>
          <w:rFonts w:ascii="Tahoma" w:eastAsia="HG Mincho Light J" w:hAnsi="Tahoma" w:cs="Tahoma"/>
          <w:b/>
          <w:bCs/>
          <w:sz w:val="18"/>
          <w:szCs w:val="18"/>
          <w:lang w:eastAsia="sl-SI"/>
        </w:rPr>
        <w:t xml:space="preserve">Ad1) </w:t>
      </w:r>
    </w:p>
    <w:p w14:paraId="7F0D0755"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Izvajalec se obvezuje izvajati storitve rednega in izrednega vzdrževanja (redni pregledi, preventivno vzdrževanje, nastavitve in popravila) na dvigalih proizvajalca osebnih dvigal, v skladu z vsakokratnim veljavnim Pravilnikom o varnosti dvigal in v skladu z DIN EN 13015. </w:t>
      </w:r>
    </w:p>
    <w:p w14:paraId="31DF5618" w14:textId="3AE382BA"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Izvajalec mora biti usposobljen za servisiranje in vzdrževanje dvigal (vključno </w:t>
      </w:r>
      <w:r w:rsidR="004B317B" w:rsidRPr="000E1B23">
        <w:rPr>
          <w:rFonts w:ascii="Tahoma" w:eastAsia="HG Mincho Light J" w:hAnsi="Tahoma" w:cs="Tahoma"/>
          <w:sz w:val="18"/>
          <w:szCs w:val="18"/>
          <w:lang w:eastAsia="sl-SI"/>
        </w:rPr>
        <w:t>s</w:t>
      </w:r>
      <w:r w:rsidRPr="000E1B23">
        <w:rPr>
          <w:rFonts w:ascii="Tahoma" w:eastAsia="HG Mincho Light J" w:hAnsi="Tahoma" w:cs="Tahoma"/>
          <w:sz w:val="18"/>
          <w:szCs w:val="18"/>
          <w:lang w:eastAsia="sl-SI"/>
        </w:rPr>
        <w:t xml:space="preserve"> krmilno programsko opremo), razpolagati mora z ustrezno programsko opremo, rezervnimi deli, strokovnim znanjem in usposobljenimi kadri.</w:t>
      </w:r>
    </w:p>
    <w:p w14:paraId="5FF6A744"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Izvedba rednega servisiranja in kontrola delovanja dvigal obsega;</w:t>
      </w:r>
    </w:p>
    <w:p w14:paraId="147BBFA9"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Pregled delovanja in uravnavanje pogonske enote, pregledovanje sredstev za obešanje, menjalnikov, zavor, pogonske vrvenice in valjev, vrvi, vrvenice deflektorja, jaškovnih vrat in vodil dvigal,</w:t>
      </w:r>
    </w:p>
    <w:p w14:paraId="6A7475B5"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Ustrezno mazanje zgoraj navedenih podsestavnih delov za zagotavljanje delovanja dvigal,</w:t>
      </w:r>
    </w:p>
    <w:p w14:paraId="10D48D41"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Pregledovanje in uravnavanje potovalnih lastnosti dvigala, še zlasti pravilnega pristajanja,</w:t>
      </w:r>
    </w:p>
    <w:p w14:paraId="453BAAB0"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Vizualni pregled in preverjanje delovanja stikal, krmilnega in nadzornega sistema ter druge varnostne opreme ter pokazateljev in razsvetljave,</w:t>
      </w:r>
    </w:p>
    <w:p w14:paraId="1D1004FF"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Pregled delovanja in morebitnih napak v delovanju dvigal,</w:t>
      </w:r>
    </w:p>
    <w:p w14:paraId="0A9C6310"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Preverjanje ravni olja pogonske enote,</w:t>
      </w:r>
    </w:p>
    <w:p w14:paraId="2C9107AC"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Čiščenje zgoraj navedenih podsestavnih delov dvigal do mere potrebne za ohranjanje delovanja opreme,</w:t>
      </w:r>
    </w:p>
    <w:p w14:paraId="52E0276D" w14:textId="77777777" w:rsidR="001F27D4" w:rsidRPr="000E1B23" w:rsidRDefault="000E1B23" w:rsidP="000E1B23">
      <w:pPr>
        <w:numPr>
          <w:ilvl w:val="0"/>
          <w:numId w:val="1"/>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2x letno čiščenje strojnice in strehe dvigala ter odstranjevanje umazanije v jašku.</w:t>
      </w:r>
    </w:p>
    <w:p w14:paraId="7C55678C"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Izvajalec bo opravljal redne pregled dvigal brez predhodnega pisnega poziva naročnika.</w:t>
      </w:r>
    </w:p>
    <w:p w14:paraId="72AC5FD5" w14:textId="77777777" w:rsidR="00670CE9" w:rsidRPr="000E1B23" w:rsidRDefault="00670CE9" w:rsidP="000E1B23">
      <w:pPr>
        <w:spacing w:after="0" w:line="240" w:lineRule="auto"/>
        <w:jc w:val="both"/>
        <w:rPr>
          <w:rFonts w:ascii="Tahoma" w:eastAsia="HG Mincho Light J" w:hAnsi="Tahoma" w:cs="Tahoma"/>
          <w:sz w:val="18"/>
          <w:szCs w:val="18"/>
          <w:lang w:eastAsia="sl-SI"/>
        </w:rPr>
      </w:pPr>
    </w:p>
    <w:p w14:paraId="737255B9" w14:textId="77777777" w:rsidR="001F27D4" w:rsidRPr="000E1B23" w:rsidRDefault="000E1B23" w:rsidP="000E1B23">
      <w:pPr>
        <w:spacing w:after="0" w:line="240" w:lineRule="auto"/>
        <w:jc w:val="both"/>
        <w:rPr>
          <w:rFonts w:ascii="Tahoma" w:eastAsia="HG Mincho Light J" w:hAnsi="Tahoma" w:cs="Tahoma"/>
          <w:b/>
          <w:bCs/>
          <w:sz w:val="18"/>
          <w:szCs w:val="18"/>
          <w:lang w:eastAsia="sl-SI"/>
        </w:rPr>
      </w:pPr>
      <w:r w:rsidRPr="000E1B23">
        <w:rPr>
          <w:rFonts w:ascii="Tahoma" w:eastAsia="HG Mincho Light J" w:hAnsi="Tahoma" w:cs="Tahoma"/>
          <w:b/>
          <w:bCs/>
          <w:sz w:val="18"/>
          <w:szCs w:val="18"/>
          <w:lang w:eastAsia="sl-SI"/>
        </w:rPr>
        <w:t>Ad2)</w:t>
      </w:r>
    </w:p>
    <w:p w14:paraId="044FA1C2"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Intervencijska popravilo bo izvajalec zaračunal posebej po opravljenem interventnem posegu oz. delu in na podlagi s strani naročnika podpisanega delovnega naloga.</w:t>
      </w:r>
    </w:p>
    <w:p w14:paraId="7DFD3337"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Izvajalec je dolžan popraviti ali zamenjati;</w:t>
      </w:r>
    </w:p>
    <w:p w14:paraId="75A2B778"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Vse dele, ki so zaradi obrabljenosti postali neuporabni, kot na primer: menjalnik, motor, hitrostni regulator, zavore, mehanski sistem izbire nadstropij, deli krmilnega sistema, obesišča vrat, pogon vrat, varnostni mehanizem, vrvenica deflektorja ipd.,</w:t>
      </w:r>
    </w:p>
    <w:p w14:paraId="7E656569"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Pravočasno zamenjati obešalne vrvi, vrvi za mehansko izbiro nadstropij, pogonske vrvenice, pogonska kolesa in viseče kable z namenom, da bi zagotovilo varnost v skladu z veljavno zakonodajo,</w:t>
      </w:r>
    </w:p>
    <w:p w14:paraId="12F05FDD"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redni intervalih v skladu z navodili proizvajalca oz. dobro prakso menjava olja v pogonskih enotah dvižnih naprav in staro olje tudi primerno odstrani,</w:t>
      </w:r>
    </w:p>
    <w:p w14:paraId="2A9A585C"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času izvajanja rednih pregledov in preventivnega vzdrževanja dvigala zamenja okvarjene ali</w:t>
      </w:r>
    </w:p>
    <w:p w14:paraId="7E3C884D" w14:textId="77777777" w:rsidR="001F27D4" w:rsidRPr="000E1B23" w:rsidRDefault="000E1B23" w:rsidP="000E1B23">
      <w:pPr>
        <w:numPr>
          <w:ilvl w:val="0"/>
          <w:numId w:val="2"/>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Poškodovane luči v kabini dvigala, strojnici dvigala in dvigalnih jaških.</w:t>
      </w:r>
    </w:p>
    <w:p w14:paraId="7345EBBA"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5C714537"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lastRenderedPageBreak/>
        <w:t>V primeru okvar je izvajalec dolžan odpraviti napake v delovanju dvižnih naprav, ki so ugotovljene med rednimi pregledi ali med izvajanjem preventivnega vzdrževanja ali se pojavijo med posameznimi pregledi in jih stranka ali pooblaščena tretja oseba prijavi. Izvajalec se obvezuje, da bo pridobil ves potreben material in popravilo izvedel v treh delovnih dneh od prijave napake ter pri tem uporabil originalne nadomestne dele oz. ustrezno nadomestilo v primeru, da originalnega dela ni več na voljo.</w:t>
      </w:r>
    </w:p>
    <w:p w14:paraId="0079388F"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457B76CD"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primeru večjih okvar in potrebnih zamenjav posameznih rezervnih delov, bo izvajalec na podlagi predhodnega ogled izdelal ponudbo potrebnih del in zamenjav, s katerimi bi ponovno vzpostavil brezhibno delovanje sistema in jo izročil v odobritev pooblaščeni osebi naročnika.</w:t>
      </w:r>
    </w:p>
    <w:p w14:paraId="2C8980CC"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Predmet naročila so tudi storitve, ki se nanašajo na tehnične izboljšave ter modifikacije, tudi v kolikor je izvedba teh zahtevana na podlagi novih predpisov ali na podlagi priporočil ali sklepov s strani odgovornih pristojnih organov. Tudi v tem primeru bo izvajalec na podlagi predhodnega ogleda izdelal ponudbo potrebnih del in zamenjav in jo izročil v odobritev pooblačeni osebi naročnika. </w:t>
      </w:r>
    </w:p>
    <w:p w14:paraId="321EEDBF"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679397D8"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Izredno vzdrževanje se opravlja v rednem delovnem času (od ponedeljka do petka med 7.00 in 15.00 ure), razen kadar bi to povzročilo večje motnje v procesu dela naročnika oz. v primeru nujne odprave napake – po dogovoru s pooblaščeno osebo naročnika.</w:t>
      </w:r>
    </w:p>
    <w:p w14:paraId="2435230B"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Po opravljenem popravilu izda izvajalec naročniku poročilo o popravilu za vsako dvigalo posebej (delovni nalog). Prevzem se opravi za vsako dvigalo posebej. O prevzemu se napiše zapisnik, ki je priloga izstavljenemu računu.</w:t>
      </w:r>
    </w:p>
    <w:p w14:paraId="258E3437"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5B75E5F0"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Garancija na rezervne dele ter opravljeno storitev najmanj 12 mesecev od zaključka popravila (oz. prevzema) posameznega dvigala.</w:t>
      </w:r>
    </w:p>
    <w:p w14:paraId="55031EB9"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Ponudnik bo za zamenjavo obrabljenih rezervnih delo izstavil račun za vsako dvigalo posebej po opravljenih delih. Priloga računa je podpisan prevzemni zapisnik s strani pogodbenih strank.</w:t>
      </w:r>
    </w:p>
    <w:p w14:paraId="73BE86AE" w14:textId="77777777" w:rsidR="001F27D4" w:rsidRPr="000E1B23" w:rsidRDefault="001F27D4" w:rsidP="000E1B23">
      <w:pPr>
        <w:spacing w:after="0" w:line="240" w:lineRule="auto"/>
        <w:jc w:val="both"/>
        <w:rPr>
          <w:rFonts w:ascii="Tahoma" w:hAnsi="Tahoma" w:cs="Tahoma"/>
          <w:b/>
          <w:sz w:val="18"/>
          <w:szCs w:val="18"/>
        </w:rPr>
      </w:pPr>
    </w:p>
    <w:p w14:paraId="6F41BB7E"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Odzivni čas</w:t>
      </w:r>
    </w:p>
    <w:p w14:paraId="47C2BB65"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Izvajalec se mora odzvati:</w:t>
      </w:r>
    </w:p>
    <w:p w14:paraId="149BFDD1" w14:textId="77777777" w:rsidR="001F27D4" w:rsidRPr="000E1B23" w:rsidRDefault="000E1B23" w:rsidP="000E1B23">
      <w:pPr>
        <w:numPr>
          <w:ilvl w:val="0"/>
          <w:numId w:val="3"/>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3 urah od prejetja obvestila o okvari v delovnem času (od 7. do 17. ure)</w:t>
      </w:r>
    </w:p>
    <w:p w14:paraId="3F64F286" w14:textId="77777777" w:rsidR="001F27D4" w:rsidRPr="000E1B23" w:rsidRDefault="000E1B23" w:rsidP="000E1B23">
      <w:pPr>
        <w:numPr>
          <w:ilvl w:val="0"/>
          <w:numId w:val="3"/>
        </w:numPr>
        <w:spacing w:after="0" w:line="240" w:lineRule="auto"/>
        <w:contextualSpacing/>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V 6 urah od prejetja obvestila o okvari izven delovnega časa.</w:t>
      </w:r>
    </w:p>
    <w:p w14:paraId="1EB8CFFB"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Prijavo izvede naročnik (skrbnik pogodbe oz. njegov namestnik oz. vzdrževalec naročnika).</w:t>
      </w:r>
    </w:p>
    <w:p w14:paraId="330F86BC" w14:textId="77777777" w:rsidR="001F27D4" w:rsidRPr="000E1B23" w:rsidRDefault="001F27D4" w:rsidP="000E1B23">
      <w:pPr>
        <w:spacing w:after="0" w:line="240" w:lineRule="auto"/>
        <w:jc w:val="both"/>
        <w:rPr>
          <w:rFonts w:ascii="Tahoma" w:eastAsia="HG Mincho Light J" w:hAnsi="Tahoma" w:cs="Tahoma"/>
          <w:sz w:val="18"/>
          <w:szCs w:val="18"/>
          <w:lang w:eastAsia="sl-SI"/>
        </w:rPr>
      </w:pPr>
    </w:p>
    <w:p w14:paraId="75B096C3"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Po prejetju obvestila o okvari s strani  naročnika je izvajalec dolžan popraviti dvigalo v treh delovnih dneh od prijave napake. Pri servisiranju in ugotovljenih večjih pomanjkljivosti, mora izklopiti dvigalo in obvestiti naročnika oz. uporabnika.</w:t>
      </w:r>
    </w:p>
    <w:p w14:paraId="1294A716" w14:textId="77777777" w:rsidR="001F27D4" w:rsidRPr="000E1B23" w:rsidRDefault="001F27D4" w:rsidP="000E1B23">
      <w:pPr>
        <w:spacing w:after="0" w:line="240" w:lineRule="auto"/>
        <w:jc w:val="both"/>
        <w:rPr>
          <w:rFonts w:ascii="Tahoma" w:hAnsi="Tahoma" w:cs="Tahoma"/>
          <w:b/>
          <w:sz w:val="18"/>
          <w:szCs w:val="18"/>
        </w:rPr>
      </w:pPr>
    </w:p>
    <w:p w14:paraId="6BDAAE5D" w14:textId="77777777" w:rsidR="001F27D4" w:rsidRPr="000E1B23" w:rsidRDefault="000E1B23" w:rsidP="000E1B23">
      <w:pPr>
        <w:spacing w:after="0" w:line="240" w:lineRule="auto"/>
        <w:jc w:val="both"/>
        <w:rPr>
          <w:rFonts w:ascii="Tahoma" w:hAnsi="Tahoma" w:cs="Tahoma"/>
          <w:b/>
          <w:sz w:val="18"/>
          <w:szCs w:val="18"/>
        </w:rPr>
      </w:pPr>
      <w:r w:rsidRPr="000E1B23">
        <w:rPr>
          <w:rFonts w:ascii="Tahoma" w:hAnsi="Tahoma" w:cs="Tahoma"/>
          <w:b/>
          <w:sz w:val="18"/>
          <w:szCs w:val="18"/>
        </w:rPr>
        <w:t>Ad3)</w:t>
      </w:r>
    </w:p>
    <w:p w14:paraId="3F60088B" w14:textId="77777777" w:rsidR="001F27D4" w:rsidRPr="000E1B23"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 xml:space="preserve">Izvajalec mora zagotoviti prisotnost in sodelovanje enega usposobljenega serviserja dvigal, ki razpolaga z ustrezno elektronsko opremo za testiranje, pri izvedbi periodičnega tehničnega pregleda s strani pooblaščene organizacije. </w:t>
      </w:r>
    </w:p>
    <w:p w14:paraId="62347F8E" w14:textId="77777777" w:rsidR="001F27D4" w:rsidRDefault="000E1B23" w:rsidP="000E1B23">
      <w:pPr>
        <w:spacing w:after="0" w:line="240" w:lineRule="auto"/>
        <w:jc w:val="both"/>
        <w:rPr>
          <w:rFonts w:ascii="Tahoma" w:eastAsia="HG Mincho Light J" w:hAnsi="Tahoma" w:cs="Tahoma"/>
          <w:sz w:val="18"/>
          <w:szCs w:val="18"/>
          <w:lang w:eastAsia="sl-SI"/>
        </w:rPr>
      </w:pPr>
      <w:r w:rsidRPr="000E1B23">
        <w:rPr>
          <w:rFonts w:ascii="Tahoma" w:eastAsia="HG Mincho Light J" w:hAnsi="Tahoma" w:cs="Tahoma"/>
          <w:sz w:val="18"/>
          <w:szCs w:val="18"/>
          <w:lang w:eastAsia="sl-SI"/>
        </w:rPr>
        <w:t>Stroški prisotnosti morajo biti upoštevani pri mesečnem strošku za redno vzdrževanje. Naročnik obvesti izvajalca o rednem periodičnem pregledu pooblaščene organizacije najmanj 5 delovnih dni pred datumom pregleda.</w:t>
      </w:r>
    </w:p>
    <w:p w14:paraId="2704F76C" w14:textId="77777777" w:rsidR="000E1B23" w:rsidRDefault="000E1B23" w:rsidP="000E1B23">
      <w:pPr>
        <w:spacing w:after="0" w:line="240" w:lineRule="auto"/>
        <w:jc w:val="both"/>
        <w:rPr>
          <w:rFonts w:ascii="Tahoma" w:eastAsia="HG Mincho Light J" w:hAnsi="Tahoma" w:cs="Tahoma"/>
          <w:sz w:val="18"/>
          <w:szCs w:val="18"/>
          <w:lang w:eastAsia="sl-SI"/>
        </w:rPr>
      </w:pPr>
    </w:p>
    <w:p w14:paraId="548895AF" w14:textId="77777777" w:rsidR="00235E10" w:rsidRPr="000E1B23" w:rsidRDefault="00235E10" w:rsidP="000E1B23">
      <w:pPr>
        <w:spacing w:after="0" w:line="240" w:lineRule="auto"/>
        <w:jc w:val="both"/>
        <w:rPr>
          <w:rFonts w:ascii="Tahoma" w:eastAsia="HG Mincho Light J" w:hAnsi="Tahoma" w:cs="Tahoma"/>
          <w:sz w:val="18"/>
          <w:szCs w:val="18"/>
          <w:lang w:eastAsia="sl-SI"/>
        </w:rPr>
      </w:pPr>
    </w:p>
    <w:p w14:paraId="130E5A3B" w14:textId="77777777" w:rsidR="001F27D4" w:rsidRDefault="001F27D4">
      <w:pPr>
        <w:spacing w:after="0" w:line="240" w:lineRule="auto"/>
        <w:rPr>
          <w:rFonts w:ascii="Tahoma" w:hAnsi="Tahoma" w:cs="Tahoma"/>
          <w:b/>
          <w:sz w:val="18"/>
          <w:szCs w:val="18"/>
        </w:rPr>
      </w:pPr>
    </w:p>
    <w:p w14:paraId="1CC0FEDC" w14:textId="77777777" w:rsidR="000E1B23" w:rsidRDefault="000E1B23">
      <w:pPr>
        <w:spacing w:after="0" w:line="240" w:lineRule="auto"/>
        <w:rPr>
          <w:rFonts w:ascii="Tahoma" w:hAnsi="Tahoma" w:cs="Tahoma"/>
          <w:b/>
          <w:sz w:val="18"/>
          <w:szCs w:val="18"/>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0E1B23" w:rsidRPr="000E1B23" w14:paraId="4680B790" w14:textId="77777777" w:rsidTr="000E1B23">
        <w:tc>
          <w:tcPr>
            <w:tcW w:w="5000" w:type="pct"/>
            <w:gridSpan w:val="3"/>
            <w:shd w:val="clear" w:color="auto" w:fill="FFFFFF"/>
          </w:tcPr>
          <w:p w14:paraId="39106F0A" w14:textId="77777777" w:rsidR="000E1B23" w:rsidRPr="000E1B23" w:rsidRDefault="000E1B23" w:rsidP="000E1B23">
            <w:pPr>
              <w:suppressAutoHyphens w:val="0"/>
              <w:spacing w:after="0" w:line="240" w:lineRule="auto"/>
              <w:jc w:val="both"/>
              <w:rPr>
                <w:rFonts w:ascii="Tahoma" w:eastAsia="Times New Roman" w:hAnsi="Tahoma" w:cs="Tahoma"/>
                <w:color w:val="000000"/>
                <w:sz w:val="18"/>
                <w:szCs w:val="18"/>
              </w:rPr>
            </w:pPr>
            <w:r w:rsidRPr="000E1B23">
              <w:rPr>
                <w:rFonts w:ascii="Tahoma" w:eastAsia="Times New Roman" w:hAnsi="Tahoma" w:cs="Tahoma"/>
                <w:color w:val="000000"/>
                <w:sz w:val="18"/>
                <w:szCs w:val="18"/>
              </w:rPr>
              <w:t xml:space="preserve">V/na </w:t>
            </w:r>
            <w:r w:rsidRPr="000E1B23">
              <w:rPr>
                <w:rFonts w:ascii="Tahoma" w:eastAsia="Times New Roman" w:hAnsi="Tahoma" w:cs="Tahoma"/>
                <w:color w:val="000000"/>
                <w:sz w:val="18"/>
                <w:szCs w:val="18"/>
              </w:rPr>
              <w:fldChar w:fldCharType="begin">
                <w:ffData>
                  <w:name w:val="Besedilo6"/>
                  <w:enabled/>
                  <w:calcOnExit w:val="0"/>
                  <w:textInput/>
                </w:ffData>
              </w:fldChar>
            </w:r>
            <w:bookmarkStart w:id="0" w:name="Besedilo6"/>
            <w:r w:rsidRPr="000E1B23">
              <w:rPr>
                <w:rFonts w:ascii="Tahoma" w:eastAsia="Times New Roman" w:hAnsi="Tahoma" w:cs="Tahoma"/>
                <w:color w:val="000000"/>
                <w:sz w:val="18"/>
                <w:szCs w:val="18"/>
              </w:rPr>
              <w:instrText xml:space="preserve"> FORMTEXT </w:instrText>
            </w:r>
            <w:r w:rsidRPr="000E1B23">
              <w:rPr>
                <w:rFonts w:ascii="Tahoma" w:eastAsia="Times New Roman" w:hAnsi="Tahoma" w:cs="Tahoma"/>
                <w:color w:val="000000"/>
                <w:sz w:val="18"/>
                <w:szCs w:val="18"/>
              </w:rPr>
            </w:r>
            <w:r w:rsidRPr="000E1B23">
              <w:rPr>
                <w:rFonts w:ascii="Tahoma" w:eastAsia="Times New Roman" w:hAnsi="Tahoma" w:cs="Tahoma"/>
                <w:color w:val="000000"/>
                <w:sz w:val="18"/>
                <w:szCs w:val="18"/>
              </w:rPr>
              <w:fldChar w:fldCharType="separate"/>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fldChar w:fldCharType="end"/>
            </w:r>
            <w:bookmarkEnd w:id="0"/>
            <w:r w:rsidRPr="000E1B23">
              <w:rPr>
                <w:rFonts w:ascii="Tahoma" w:eastAsia="Times New Roman" w:hAnsi="Tahoma" w:cs="Tahoma"/>
                <w:color w:val="000000"/>
                <w:sz w:val="18"/>
                <w:szCs w:val="18"/>
              </w:rPr>
              <w:t xml:space="preserve">, dne </w:t>
            </w:r>
            <w:r w:rsidRPr="000E1B23">
              <w:rPr>
                <w:rFonts w:ascii="Tahoma" w:eastAsia="Times New Roman" w:hAnsi="Tahoma" w:cs="Tahoma"/>
                <w:color w:val="000000"/>
                <w:sz w:val="18"/>
                <w:szCs w:val="18"/>
              </w:rPr>
              <w:fldChar w:fldCharType="begin">
                <w:ffData>
                  <w:name w:val="Besedilo7"/>
                  <w:enabled/>
                  <w:calcOnExit w:val="0"/>
                  <w:textInput/>
                </w:ffData>
              </w:fldChar>
            </w:r>
            <w:bookmarkStart w:id="1" w:name="Besedilo7"/>
            <w:r w:rsidRPr="000E1B23">
              <w:rPr>
                <w:rFonts w:ascii="Tahoma" w:eastAsia="Times New Roman" w:hAnsi="Tahoma" w:cs="Tahoma"/>
                <w:color w:val="000000"/>
                <w:sz w:val="18"/>
                <w:szCs w:val="18"/>
              </w:rPr>
              <w:instrText xml:space="preserve"> FORMTEXT </w:instrText>
            </w:r>
            <w:r w:rsidRPr="000E1B23">
              <w:rPr>
                <w:rFonts w:ascii="Tahoma" w:eastAsia="Times New Roman" w:hAnsi="Tahoma" w:cs="Tahoma"/>
                <w:color w:val="000000"/>
                <w:sz w:val="18"/>
                <w:szCs w:val="18"/>
              </w:rPr>
            </w:r>
            <w:r w:rsidRPr="000E1B23">
              <w:rPr>
                <w:rFonts w:ascii="Tahoma" w:eastAsia="Times New Roman" w:hAnsi="Tahoma" w:cs="Tahoma"/>
                <w:color w:val="000000"/>
                <w:sz w:val="18"/>
                <w:szCs w:val="18"/>
              </w:rPr>
              <w:fldChar w:fldCharType="separate"/>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t> </w:t>
            </w:r>
            <w:r w:rsidRPr="000E1B23">
              <w:rPr>
                <w:rFonts w:ascii="Tahoma" w:eastAsia="Times New Roman" w:hAnsi="Tahoma" w:cs="Tahoma"/>
                <w:color w:val="000000"/>
                <w:sz w:val="18"/>
                <w:szCs w:val="18"/>
              </w:rPr>
              <w:fldChar w:fldCharType="end"/>
            </w:r>
            <w:bookmarkEnd w:id="1"/>
          </w:p>
        </w:tc>
      </w:tr>
      <w:tr w:rsidR="000E1B23" w:rsidRPr="000E1B23" w14:paraId="79487FF8" w14:textId="77777777" w:rsidTr="000E1B23">
        <w:tc>
          <w:tcPr>
            <w:tcW w:w="1886" w:type="pct"/>
            <w:shd w:val="clear" w:color="auto" w:fill="99CC00"/>
          </w:tcPr>
          <w:p w14:paraId="530EDC7D"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t xml:space="preserve">Ponudnik </w:t>
            </w:r>
            <w:r w:rsidRPr="000E1B23">
              <w:rPr>
                <w:rFonts w:ascii="Tahoma" w:eastAsia="Times New Roman" w:hAnsi="Tahoma" w:cs="Tahoma"/>
                <w:bCs/>
                <w:color w:val="000000"/>
                <w:sz w:val="18"/>
                <w:szCs w:val="18"/>
              </w:rPr>
              <w:t>(vpisati točen naziv pondunika):</w:t>
            </w:r>
          </w:p>
        </w:tc>
        <w:tc>
          <w:tcPr>
            <w:tcW w:w="3114" w:type="pct"/>
            <w:gridSpan w:val="2"/>
            <w:shd w:val="clear" w:color="auto" w:fill="FFFFFF"/>
          </w:tcPr>
          <w:p w14:paraId="7C2D84B1"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fldChar w:fldCharType="begin">
                <w:ffData>
                  <w:name w:val="Besedilo18"/>
                  <w:enabled/>
                  <w:calcOnExit w:val="0"/>
                  <w:textInput/>
                </w:ffData>
              </w:fldChar>
            </w:r>
            <w:bookmarkStart w:id="2" w:name="Besedilo18"/>
            <w:r w:rsidRPr="000E1B23">
              <w:rPr>
                <w:rFonts w:ascii="Tahoma" w:eastAsia="Times New Roman" w:hAnsi="Tahoma" w:cs="Tahoma"/>
                <w:b/>
                <w:color w:val="000000"/>
                <w:sz w:val="18"/>
                <w:szCs w:val="18"/>
              </w:rPr>
              <w:instrText xml:space="preserve"> FORMTEXT </w:instrText>
            </w:r>
            <w:r w:rsidRPr="000E1B23">
              <w:rPr>
                <w:rFonts w:ascii="Tahoma" w:eastAsia="Times New Roman" w:hAnsi="Tahoma" w:cs="Tahoma"/>
                <w:b/>
                <w:color w:val="000000"/>
                <w:sz w:val="18"/>
                <w:szCs w:val="18"/>
              </w:rPr>
            </w:r>
            <w:r w:rsidRPr="000E1B23">
              <w:rPr>
                <w:rFonts w:ascii="Tahoma" w:eastAsia="Times New Roman" w:hAnsi="Tahoma" w:cs="Tahoma"/>
                <w:b/>
                <w:color w:val="000000"/>
                <w:sz w:val="18"/>
                <w:szCs w:val="18"/>
              </w:rPr>
              <w:fldChar w:fldCharType="separate"/>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fldChar w:fldCharType="end"/>
            </w:r>
            <w:bookmarkEnd w:id="2"/>
          </w:p>
        </w:tc>
      </w:tr>
      <w:tr w:rsidR="000E1B23" w:rsidRPr="000E1B23" w14:paraId="7AD8C890" w14:textId="77777777" w:rsidTr="00C8501D">
        <w:tc>
          <w:tcPr>
            <w:tcW w:w="1886" w:type="pct"/>
            <w:shd w:val="clear" w:color="auto" w:fill="99CC00"/>
          </w:tcPr>
          <w:p w14:paraId="6D624F18"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t>Zastopnik/prokurist (ime in priimek)</w:t>
            </w:r>
          </w:p>
          <w:p w14:paraId="6F812B40"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p>
        </w:tc>
        <w:tc>
          <w:tcPr>
            <w:tcW w:w="1605" w:type="pct"/>
            <w:shd w:val="clear" w:color="auto" w:fill="99CC00"/>
          </w:tcPr>
          <w:p w14:paraId="496526DE"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t>Podpis</w:t>
            </w:r>
          </w:p>
        </w:tc>
        <w:tc>
          <w:tcPr>
            <w:tcW w:w="1509" w:type="pct"/>
            <w:shd w:val="clear" w:color="auto" w:fill="99CC00"/>
          </w:tcPr>
          <w:p w14:paraId="4890ECC9" w14:textId="77777777" w:rsidR="000E1B23" w:rsidRPr="000E1B23" w:rsidRDefault="000E1B23" w:rsidP="000E1B23">
            <w:pPr>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t>Žig</w:t>
            </w:r>
          </w:p>
        </w:tc>
      </w:tr>
      <w:tr w:rsidR="000E1B23" w:rsidRPr="000E1B23" w14:paraId="358E388D" w14:textId="77777777" w:rsidTr="00C8501D">
        <w:tc>
          <w:tcPr>
            <w:tcW w:w="1886" w:type="pct"/>
          </w:tcPr>
          <w:p w14:paraId="69932B94"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4DFBC2ED"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r w:rsidRPr="000E1B23">
              <w:rPr>
                <w:rFonts w:ascii="Tahoma" w:eastAsia="Times New Roman" w:hAnsi="Tahoma" w:cs="Tahoma"/>
                <w:b/>
                <w:color w:val="000000"/>
                <w:sz w:val="18"/>
                <w:szCs w:val="18"/>
              </w:rPr>
              <w:fldChar w:fldCharType="begin">
                <w:ffData>
                  <w:name w:val="Text13"/>
                  <w:enabled/>
                  <w:calcOnExit w:val="0"/>
                  <w:textInput/>
                </w:ffData>
              </w:fldChar>
            </w:r>
            <w:r w:rsidRPr="000E1B23">
              <w:rPr>
                <w:rFonts w:ascii="Tahoma" w:eastAsia="Times New Roman" w:hAnsi="Tahoma" w:cs="Tahoma"/>
                <w:b/>
                <w:color w:val="000000"/>
                <w:sz w:val="18"/>
                <w:szCs w:val="18"/>
              </w:rPr>
              <w:instrText xml:space="preserve"> FORMTEXT </w:instrText>
            </w:r>
            <w:r w:rsidRPr="000E1B23">
              <w:rPr>
                <w:rFonts w:ascii="Tahoma" w:eastAsia="Times New Roman" w:hAnsi="Tahoma" w:cs="Tahoma"/>
                <w:b/>
                <w:color w:val="000000"/>
                <w:sz w:val="18"/>
                <w:szCs w:val="18"/>
              </w:rPr>
            </w:r>
            <w:r w:rsidRPr="000E1B23">
              <w:rPr>
                <w:rFonts w:ascii="Tahoma" w:eastAsia="Times New Roman" w:hAnsi="Tahoma" w:cs="Tahoma"/>
                <w:b/>
                <w:color w:val="000000"/>
                <w:sz w:val="18"/>
                <w:szCs w:val="18"/>
              </w:rPr>
              <w:fldChar w:fldCharType="separate"/>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t> </w:t>
            </w:r>
            <w:r w:rsidRPr="000E1B23">
              <w:rPr>
                <w:rFonts w:ascii="Tahoma" w:eastAsia="Times New Roman" w:hAnsi="Tahoma" w:cs="Tahoma"/>
                <w:b/>
                <w:color w:val="000000"/>
                <w:sz w:val="18"/>
                <w:szCs w:val="18"/>
              </w:rPr>
              <w:fldChar w:fldCharType="end"/>
            </w:r>
          </w:p>
        </w:tc>
        <w:tc>
          <w:tcPr>
            <w:tcW w:w="1605" w:type="pct"/>
          </w:tcPr>
          <w:p w14:paraId="4E71E918"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0308263F"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6AB00145"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tc>
        <w:tc>
          <w:tcPr>
            <w:tcW w:w="1509" w:type="pct"/>
          </w:tcPr>
          <w:p w14:paraId="7D2DB1B8"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5D07E823"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13617024"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1C17DE5C"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p w14:paraId="5ABA3B9F" w14:textId="77777777" w:rsidR="000E1B23" w:rsidRPr="000E1B23" w:rsidRDefault="000E1B23" w:rsidP="000E1B23">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b/>
                <w:color w:val="000000"/>
                <w:sz w:val="18"/>
                <w:szCs w:val="18"/>
              </w:rPr>
            </w:pPr>
          </w:p>
        </w:tc>
      </w:tr>
    </w:tbl>
    <w:p w14:paraId="44F63B7E" w14:textId="0D1FA97A" w:rsidR="001F27D4" w:rsidRDefault="000E1B23">
      <w:pPr>
        <w:keepNext/>
        <w:shd w:val="clear" w:color="auto" w:fill="FFFFFF"/>
        <w:spacing w:before="240" w:after="60" w:line="240" w:lineRule="auto"/>
        <w:outlineLvl w:val="1"/>
        <w:rPr>
          <w:rFonts w:ascii="Tahoma" w:eastAsia="HG Mincho Light J" w:hAnsi="Tahoma" w:cs="Tahoma"/>
          <w:sz w:val="20"/>
          <w:szCs w:val="20"/>
          <w:lang w:eastAsia="sl-SI"/>
        </w:rPr>
      </w:pPr>
      <w:r w:rsidRPr="000E1B23">
        <w:rPr>
          <w:rFonts w:ascii="Tahoma" w:eastAsia="HG Mincho Light J" w:hAnsi="Tahoma" w:cs="Tahoma"/>
          <w:sz w:val="18"/>
          <w:szCs w:val="18"/>
          <w:lang w:eastAsia="sl-SI"/>
        </w:rPr>
        <w:t xml:space="preserve"> </w:t>
      </w:r>
    </w:p>
    <w:p w14:paraId="355531CE" w14:textId="77777777" w:rsidR="001F27D4" w:rsidRDefault="001F27D4"/>
    <w:sectPr w:rsidR="001F27D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3325"/>
    <w:multiLevelType w:val="multilevel"/>
    <w:tmpl w:val="BEECDCE2"/>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F66D0E"/>
    <w:multiLevelType w:val="multilevel"/>
    <w:tmpl w:val="16E83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5E350AA"/>
    <w:multiLevelType w:val="multilevel"/>
    <w:tmpl w:val="931624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32215F6"/>
    <w:multiLevelType w:val="multilevel"/>
    <w:tmpl w:val="508C63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4866605">
    <w:abstractNumId w:val="3"/>
  </w:num>
  <w:num w:numId="2" w16cid:durableId="362946735">
    <w:abstractNumId w:val="1"/>
  </w:num>
  <w:num w:numId="3" w16cid:durableId="1860923398">
    <w:abstractNumId w:val="0"/>
  </w:num>
  <w:num w:numId="4" w16cid:durableId="1526212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D4"/>
    <w:rsid w:val="000E1B23"/>
    <w:rsid w:val="001F27D4"/>
    <w:rsid w:val="00205A31"/>
    <w:rsid w:val="00235E10"/>
    <w:rsid w:val="00355F4A"/>
    <w:rsid w:val="00401AD5"/>
    <w:rsid w:val="0047791D"/>
    <w:rsid w:val="004B317B"/>
    <w:rsid w:val="0061369D"/>
    <w:rsid w:val="00670CE9"/>
    <w:rsid w:val="006C26EF"/>
    <w:rsid w:val="007E7736"/>
    <w:rsid w:val="008C0326"/>
    <w:rsid w:val="0092636C"/>
    <w:rsid w:val="00B376EF"/>
    <w:rsid w:val="00D47DCB"/>
    <w:rsid w:val="00DB2CD3"/>
    <w:rsid w:val="00ED5838"/>
    <w:rsid w:val="00F70096"/>
    <w:rsid w:val="00F97D8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CC22"/>
  <w15:docId w15:val="{2ADDF792-21D8-4123-A101-DD02CE64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0DB0"/>
    <w:pPr>
      <w:spacing w:after="200" w:line="276" w:lineRule="auto"/>
    </w:pPr>
    <w:rPr>
      <w:rFonts w:cs="Times New Roman"/>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character" w:styleId="Pripombasklic">
    <w:name w:val="annotation reference"/>
    <w:basedOn w:val="Privzetapisavaodstavka"/>
    <w:uiPriority w:val="99"/>
    <w:semiHidden/>
    <w:unhideWhenUsed/>
    <w:rsid w:val="000E1B23"/>
    <w:rPr>
      <w:sz w:val="16"/>
      <w:szCs w:val="16"/>
    </w:rPr>
  </w:style>
  <w:style w:type="paragraph" w:styleId="Pripombabesedilo">
    <w:name w:val="annotation text"/>
    <w:basedOn w:val="Navaden"/>
    <w:link w:val="PripombabesediloZnak"/>
    <w:uiPriority w:val="99"/>
    <w:semiHidden/>
    <w:unhideWhenUsed/>
    <w:rsid w:val="000E1B2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E1B23"/>
    <w:rPr>
      <w:rFonts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E1B23"/>
    <w:rPr>
      <w:b/>
      <w:bCs/>
    </w:rPr>
  </w:style>
  <w:style w:type="character" w:customStyle="1" w:styleId="ZadevapripombeZnak">
    <w:name w:val="Zadeva pripombe Znak"/>
    <w:basedOn w:val="PripombabesediloZnak"/>
    <w:link w:val="Zadevapripombe"/>
    <w:uiPriority w:val="99"/>
    <w:semiHidden/>
    <w:rsid w:val="000E1B23"/>
    <w:rPr>
      <w:rFont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1030</Words>
  <Characters>5877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robert.bizjak@bolnisnica-go.si</dc:creator>
  <dc:description/>
  <cp:lastModifiedBy>Marjetka Rebek</cp:lastModifiedBy>
  <cp:revision>5</cp:revision>
  <dcterms:created xsi:type="dcterms:W3CDTF">2025-05-06T09:27:00Z</dcterms:created>
  <dcterms:modified xsi:type="dcterms:W3CDTF">2025-06-20T08:27:00Z</dcterms:modified>
  <dc:language>sl-SI</dc:language>
</cp:coreProperties>
</file>