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0D123A"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1A061696" w:rsidR="00332952" w:rsidRPr="00417330" w:rsidRDefault="00C77B7D"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t>Vodja lekarne</w:t>
            </w:r>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7C54108D" w:rsidR="00A00472" w:rsidRPr="00417330" w:rsidRDefault="00C77B7D">
            <w:pPr>
              <w:keepLines/>
              <w:widowControl w:val="0"/>
              <w:spacing w:after="0" w:line="240" w:lineRule="auto"/>
              <w:rPr>
                <w:rFonts w:ascii="Tahoma" w:hAnsi="Tahoma" w:cs="Tahoma"/>
                <w:sz w:val="18"/>
                <w:szCs w:val="18"/>
                <w:lang w:val="sl-SI"/>
              </w:rPr>
            </w:pPr>
            <w:r>
              <w:rPr>
                <w:rFonts w:ascii="Tahoma" w:hAnsi="Tahoma" w:cs="Tahoma"/>
                <w:sz w:val="18"/>
                <w:szCs w:val="18"/>
                <w:lang w:val="sl-SI"/>
              </w:rPr>
              <w:t>Direktor zavoda: Dimitrij Klančič,dr.med.,spec.int.med.</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304CDFC1"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 xml:space="preserve">MP </w:t>
            </w:r>
            <w:r w:rsidR="00C77B7D">
              <w:rPr>
                <w:rFonts w:ascii="Tahoma" w:hAnsi="Tahoma" w:cs="Tahoma"/>
                <w:b/>
                <w:sz w:val="18"/>
                <w:szCs w:val="18"/>
                <w:lang w:val="sl-SI"/>
              </w:rPr>
              <w:t>ZA ARTROSKOPIJO</w:t>
            </w:r>
            <w:r w:rsidR="00F102E1">
              <w:rPr>
                <w:rFonts w:ascii="Tahoma" w:hAnsi="Tahoma" w:cs="Tahoma"/>
                <w:b/>
                <w:sz w:val="18"/>
                <w:szCs w:val="18"/>
                <w:lang w:val="sl-SI"/>
              </w:rPr>
              <w:t xml:space="preserve"> - PONOVITEV</w:t>
            </w:r>
            <w:r w:rsidRPr="00417330">
              <w:rPr>
                <w:rFonts w:ascii="Tahoma" w:hAnsi="Tahoma" w:cs="Tahoma"/>
                <w:b/>
                <w:sz w:val="18"/>
                <w:szCs w:val="18"/>
                <w:lang w:val="sl-SI"/>
              </w:rPr>
              <w:t xml:space="preserve">; </w:t>
            </w:r>
          </w:p>
          <w:p w14:paraId="002168E2" w14:textId="041B5D0D" w:rsidR="001E6B84" w:rsidRDefault="00D95DBD" w:rsidP="00E60132">
            <w:pPr>
              <w:keepLines/>
              <w:widowControl w:val="0"/>
              <w:spacing w:after="0" w:line="240" w:lineRule="auto"/>
              <w:jc w:val="center"/>
              <w:rPr>
                <w:rFonts w:ascii="Tahoma" w:hAnsi="Tahoma" w:cs="Tahoma"/>
                <w:b/>
                <w:sz w:val="18"/>
                <w:szCs w:val="18"/>
                <w:lang w:val="sl-SI"/>
              </w:rPr>
            </w:pPr>
            <w:r>
              <w:rPr>
                <w:rFonts w:ascii="Tahoma" w:hAnsi="Tahoma" w:cs="Tahoma"/>
                <w:b/>
                <w:sz w:val="18"/>
                <w:szCs w:val="18"/>
                <w:lang w:val="sl-SI"/>
              </w:rPr>
              <w:t xml:space="preserve">Sklop 1: </w:t>
            </w:r>
            <w:r>
              <w:rPr>
                <w:rFonts w:ascii="Tahoma" w:hAnsi="Tahoma" w:cs="Tahoma"/>
                <w:b/>
                <w:sz w:val="18"/>
                <w:szCs w:val="18"/>
                <w:lang w:val="sl-SI"/>
              </w:rPr>
              <w:fldChar w:fldCharType="begin">
                <w:ffData>
                  <w:name w:val="Besedilo214"/>
                  <w:enabled/>
                  <w:calcOnExit w:val="0"/>
                  <w:textInput/>
                </w:ffData>
              </w:fldChar>
            </w:r>
            <w:bookmarkStart w:id="0" w:name="Besedilo214"/>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0"/>
            <w:r w:rsidR="003D180C">
              <w:rPr>
                <w:rFonts w:ascii="Tahoma" w:hAnsi="Tahoma" w:cs="Tahoma"/>
                <w:b/>
                <w:sz w:val="18"/>
                <w:szCs w:val="18"/>
                <w:lang w:val="sl-SI"/>
              </w:rPr>
              <w:t xml:space="preserve">JR </w:t>
            </w:r>
            <w:r>
              <w:rPr>
                <w:rFonts w:ascii="Tahoma" w:hAnsi="Tahoma" w:cs="Tahoma"/>
                <w:b/>
                <w:sz w:val="18"/>
                <w:szCs w:val="18"/>
                <w:lang w:val="sl-SI"/>
              </w:rPr>
              <w:fldChar w:fldCharType="begin">
                <w:ffData>
                  <w:name w:val="Besedilo213"/>
                  <w:enabled/>
                  <w:calcOnExit w:val="0"/>
                  <w:textInput/>
                </w:ffData>
              </w:fldChar>
            </w:r>
            <w:bookmarkStart w:id="1" w:name="Besedilo213"/>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1"/>
          </w:p>
          <w:p w14:paraId="28CD7365" w14:textId="186464E4" w:rsidR="00D95DBD" w:rsidRDefault="00D95DBD" w:rsidP="00E60132">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2: </w:t>
            </w:r>
            <w:r>
              <w:rPr>
                <w:rFonts w:ascii="Tahoma" w:hAnsi="Tahoma" w:cs="Tahoma"/>
                <w:b/>
                <w:sz w:val="18"/>
                <w:szCs w:val="18"/>
              </w:rPr>
              <w:fldChar w:fldCharType="begin">
                <w:ffData>
                  <w:name w:val="Besedilo215"/>
                  <w:enabled/>
                  <w:calcOnExit w:val="0"/>
                  <w:textInput/>
                </w:ffData>
              </w:fldChar>
            </w:r>
            <w:bookmarkStart w:id="2" w:name="Besedilo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2"/>
            <w:r>
              <w:rPr>
                <w:rFonts w:ascii="Tahoma" w:hAnsi="Tahoma" w:cs="Tahoma"/>
                <w:b/>
                <w:sz w:val="18"/>
                <w:szCs w:val="18"/>
              </w:rPr>
              <w:t xml:space="preserve">JR </w:t>
            </w:r>
            <w:r>
              <w:rPr>
                <w:rFonts w:ascii="Tahoma" w:hAnsi="Tahoma" w:cs="Tahoma"/>
                <w:b/>
                <w:sz w:val="18"/>
                <w:szCs w:val="18"/>
              </w:rPr>
              <w:fldChar w:fldCharType="begin">
                <w:ffData>
                  <w:name w:val="Besedilo216"/>
                  <w:enabled/>
                  <w:calcOnExit w:val="0"/>
                  <w:textInput/>
                </w:ffData>
              </w:fldChar>
            </w:r>
            <w:bookmarkStart w:id="3" w:name="Besedilo216"/>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p>
          <w:p w14:paraId="368EB61F" w14:textId="746DF424"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C77B7D">
              <w:rPr>
                <w:rFonts w:ascii="Tahoma" w:hAnsi="Tahoma" w:cs="Tahoma"/>
                <w:b/>
                <w:sz w:val="18"/>
                <w:szCs w:val="18"/>
              </w:rPr>
              <w:t>200-</w:t>
            </w:r>
            <w:r w:rsidR="00F102E1">
              <w:rPr>
                <w:rFonts w:ascii="Tahoma" w:hAnsi="Tahoma" w:cs="Tahoma"/>
                <w:b/>
                <w:sz w:val="18"/>
                <w:szCs w:val="18"/>
              </w:rPr>
              <w:t>39</w:t>
            </w:r>
            <w:r w:rsidR="00C77B7D">
              <w:rPr>
                <w:rFonts w:ascii="Tahoma" w:hAnsi="Tahoma" w:cs="Tahoma"/>
                <w:b/>
                <w:sz w:val="18"/>
                <w:szCs w:val="18"/>
              </w:rPr>
              <w:t>/2022-</w:t>
            </w:r>
            <w:r w:rsidR="00C77B7D">
              <w:rPr>
                <w:rFonts w:ascii="Tahoma" w:hAnsi="Tahoma" w:cs="Tahoma"/>
                <w:b/>
                <w:sz w:val="18"/>
                <w:szCs w:val="18"/>
              </w:rPr>
              <w:fldChar w:fldCharType="begin">
                <w:ffData>
                  <w:name w:val="Besedilo219"/>
                  <w:enabled/>
                  <w:calcOnExit w:val="0"/>
                  <w:textInput/>
                </w:ffData>
              </w:fldChar>
            </w:r>
            <w:bookmarkStart w:id="4" w:name="Besedilo219"/>
            <w:r w:rsidR="00C77B7D">
              <w:rPr>
                <w:rFonts w:ascii="Tahoma" w:hAnsi="Tahoma" w:cs="Tahoma"/>
                <w:b/>
                <w:sz w:val="18"/>
                <w:szCs w:val="18"/>
              </w:rPr>
              <w:instrText xml:space="preserve"> FORMTEXT </w:instrText>
            </w:r>
            <w:r w:rsidR="00C77B7D">
              <w:rPr>
                <w:rFonts w:ascii="Tahoma" w:hAnsi="Tahoma" w:cs="Tahoma"/>
                <w:b/>
                <w:sz w:val="18"/>
                <w:szCs w:val="18"/>
              </w:rPr>
            </w:r>
            <w:r w:rsidR="00C77B7D">
              <w:rPr>
                <w:rFonts w:ascii="Tahoma" w:hAnsi="Tahoma" w:cs="Tahoma"/>
                <w:b/>
                <w:sz w:val="18"/>
                <w:szCs w:val="18"/>
              </w:rPr>
              <w:fldChar w:fldCharType="separate"/>
            </w:r>
            <w:r w:rsidR="00C77B7D">
              <w:rPr>
                <w:rFonts w:ascii="Tahoma" w:hAnsi="Tahoma" w:cs="Tahoma"/>
                <w:b/>
                <w:noProof/>
                <w:sz w:val="18"/>
                <w:szCs w:val="18"/>
              </w:rPr>
              <w:t> </w:t>
            </w:r>
            <w:r w:rsidR="00C77B7D">
              <w:rPr>
                <w:rFonts w:ascii="Tahoma" w:hAnsi="Tahoma" w:cs="Tahoma"/>
                <w:b/>
                <w:noProof/>
                <w:sz w:val="18"/>
                <w:szCs w:val="18"/>
              </w:rPr>
              <w:t> </w:t>
            </w:r>
            <w:r w:rsidR="00C77B7D">
              <w:rPr>
                <w:rFonts w:ascii="Tahoma" w:hAnsi="Tahoma" w:cs="Tahoma"/>
                <w:b/>
                <w:noProof/>
                <w:sz w:val="18"/>
                <w:szCs w:val="18"/>
              </w:rPr>
              <w:t> </w:t>
            </w:r>
            <w:r w:rsidR="00C77B7D">
              <w:rPr>
                <w:rFonts w:ascii="Tahoma" w:hAnsi="Tahoma" w:cs="Tahoma"/>
                <w:b/>
                <w:noProof/>
                <w:sz w:val="18"/>
                <w:szCs w:val="18"/>
              </w:rPr>
              <w:t> </w:t>
            </w:r>
            <w:r w:rsidR="00C77B7D">
              <w:rPr>
                <w:rFonts w:ascii="Tahoma" w:hAnsi="Tahoma" w:cs="Tahoma"/>
                <w:b/>
                <w:noProof/>
                <w:sz w:val="18"/>
                <w:szCs w:val="18"/>
              </w:rPr>
              <w:t> </w:t>
            </w:r>
            <w:r w:rsidR="00C77B7D">
              <w:rPr>
                <w:rFonts w:ascii="Tahoma" w:hAnsi="Tahoma" w:cs="Tahoma"/>
                <w:b/>
                <w:sz w:val="18"/>
                <w:szCs w:val="18"/>
              </w:rPr>
              <w:fldChar w:fldCharType="end"/>
            </w:r>
            <w:bookmarkEnd w:id="4"/>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22E5989F" w:rsidR="00A00472" w:rsidRPr="00417330" w:rsidRDefault="00C77B7D">
            <w:pPr>
              <w:keepLines/>
              <w:widowControl w:val="0"/>
              <w:spacing w:after="0" w:line="240" w:lineRule="auto"/>
              <w:jc w:val="both"/>
              <w:rPr>
                <w:rFonts w:ascii="Tahoma" w:hAnsi="Tahoma" w:cs="Tahoma"/>
                <w:sz w:val="18"/>
                <w:szCs w:val="18"/>
              </w:rPr>
            </w:pPr>
            <w:r>
              <w:rPr>
                <w:rFonts w:ascii="Tahoma" w:hAnsi="Tahoma" w:cs="Tahoma"/>
                <w:sz w:val="18"/>
                <w:szCs w:val="18"/>
                <w:lang w:val="sl-SI"/>
              </w:rPr>
              <w:t>200-</w:t>
            </w:r>
            <w:r w:rsidR="00F102E1">
              <w:rPr>
                <w:rFonts w:ascii="Tahoma" w:hAnsi="Tahoma" w:cs="Tahoma"/>
                <w:sz w:val="18"/>
                <w:szCs w:val="18"/>
                <w:lang w:val="sl-SI"/>
              </w:rPr>
              <w:t>39</w:t>
            </w:r>
            <w:r>
              <w:rPr>
                <w:rFonts w:ascii="Tahoma" w:hAnsi="Tahoma" w:cs="Tahoma"/>
                <w:sz w:val="18"/>
                <w:szCs w:val="18"/>
                <w:lang w:val="sl-SI"/>
              </w:rPr>
              <w:t>/2022</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5"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5"/>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6"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6"/>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7"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7"/>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8"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8"/>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0F34968F"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Predmet okvirnega sporazuma je dobava</w:t>
      </w:r>
      <w:r w:rsidR="00F102E1">
        <w:rPr>
          <w:rFonts w:ascii="Tahoma" w:hAnsi="Tahoma" w:cs="Tahoma"/>
          <w:sz w:val="18"/>
          <w:szCs w:val="18"/>
          <w:lang w:val="sl-SI"/>
        </w:rPr>
        <w:t xml:space="preserve"> </w:t>
      </w:r>
      <w:r w:rsidR="00C77B7D">
        <w:rPr>
          <w:rFonts w:ascii="Tahoma" w:hAnsi="Tahoma" w:cs="Tahoma"/>
          <w:sz w:val="18"/>
          <w:szCs w:val="18"/>
          <w:lang w:val="sl-SI"/>
        </w:rPr>
        <w:t>MP za artroskopijo</w:t>
      </w:r>
      <w:r w:rsidR="00F102E1">
        <w:rPr>
          <w:rFonts w:ascii="Tahoma" w:hAnsi="Tahoma" w:cs="Tahoma"/>
          <w:sz w:val="18"/>
          <w:szCs w:val="18"/>
          <w:lang w:val="sl-SI"/>
        </w:rPr>
        <w:t xml:space="preserve"> - ponovitev</w:t>
      </w:r>
      <w:r w:rsidR="00C77B7D">
        <w:rPr>
          <w:rFonts w:ascii="Tahoma" w:hAnsi="Tahoma" w:cs="Tahoma"/>
          <w:sz w:val="18"/>
          <w:szCs w:val="18"/>
          <w:lang w:val="sl-SI"/>
        </w:rPr>
        <w:t xml:space="preserve"> </w:t>
      </w:r>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0D123A">
        <w:rPr>
          <w:rFonts w:ascii="Tahoma" w:hAnsi="Tahoma" w:cs="Tahoma"/>
          <w:sz w:val="18"/>
          <w:szCs w:val="18"/>
          <w:lang w:val="sl-SI"/>
        </w:rPr>
        <w:fldChar w:fldCharType="begin">
          <w:ffData>
            <w:name w:val="Besedilo220"/>
            <w:enabled/>
            <w:calcOnExit w:val="0"/>
            <w:textInput/>
          </w:ffData>
        </w:fldChar>
      </w:r>
      <w:bookmarkStart w:id="9" w:name="Besedilo220"/>
      <w:r w:rsidR="000D123A">
        <w:rPr>
          <w:rFonts w:ascii="Tahoma" w:hAnsi="Tahoma" w:cs="Tahoma"/>
          <w:sz w:val="18"/>
          <w:szCs w:val="18"/>
          <w:lang w:val="sl-SI"/>
        </w:rPr>
        <w:instrText xml:space="preserve"> FORMTEXT </w:instrText>
      </w:r>
      <w:r w:rsidR="000D123A">
        <w:rPr>
          <w:rFonts w:ascii="Tahoma" w:hAnsi="Tahoma" w:cs="Tahoma"/>
          <w:sz w:val="18"/>
          <w:szCs w:val="18"/>
          <w:lang w:val="sl-SI"/>
        </w:rPr>
      </w:r>
      <w:r w:rsidR="000D123A">
        <w:rPr>
          <w:rFonts w:ascii="Tahoma" w:hAnsi="Tahoma" w:cs="Tahoma"/>
          <w:sz w:val="18"/>
          <w:szCs w:val="18"/>
          <w:lang w:val="sl-SI"/>
        </w:rPr>
        <w:fldChar w:fldCharType="separate"/>
      </w:r>
      <w:r w:rsidR="000D123A">
        <w:rPr>
          <w:rFonts w:ascii="Tahoma" w:hAnsi="Tahoma" w:cs="Tahoma"/>
          <w:noProof/>
          <w:sz w:val="18"/>
          <w:szCs w:val="18"/>
          <w:lang w:val="sl-SI"/>
        </w:rPr>
        <w:t> </w:t>
      </w:r>
      <w:r w:rsidR="000D123A">
        <w:rPr>
          <w:rFonts w:ascii="Tahoma" w:hAnsi="Tahoma" w:cs="Tahoma"/>
          <w:noProof/>
          <w:sz w:val="18"/>
          <w:szCs w:val="18"/>
          <w:lang w:val="sl-SI"/>
        </w:rPr>
        <w:t> </w:t>
      </w:r>
      <w:r w:rsidR="000D123A">
        <w:rPr>
          <w:rFonts w:ascii="Tahoma" w:hAnsi="Tahoma" w:cs="Tahoma"/>
          <w:noProof/>
          <w:sz w:val="18"/>
          <w:szCs w:val="18"/>
          <w:lang w:val="sl-SI"/>
        </w:rPr>
        <w:t> </w:t>
      </w:r>
      <w:r w:rsidR="000D123A">
        <w:rPr>
          <w:rFonts w:ascii="Tahoma" w:hAnsi="Tahoma" w:cs="Tahoma"/>
          <w:noProof/>
          <w:sz w:val="18"/>
          <w:szCs w:val="18"/>
          <w:lang w:val="sl-SI"/>
        </w:rPr>
        <w:t> </w:t>
      </w:r>
      <w:r w:rsidR="000D123A">
        <w:rPr>
          <w:rFonts w:ascii="Tahoma" w:hAnsi="Tahoma" w:cs="Tahoma"/>
          <w:noProof/>
          <w:sz w:val="18"/>
          <w:szCs w:val="18"/>
          <w:lang w:val="sl-SI"/>
        </w:rPr>
        <w:t> </w:t>
      </w:r>
      <w:r w:rsidR="000D123A">
        <w:rPr>
          <w:rFonts w:ascii="Tahoma" w:hAnsi="Tahoma" w:cs="Tahoma"/>
          <w:sz w:val="18"/>
          <w:szCs w:val="18"/>
          <w:lang w:val="sl-SI"/>
        </w:rPr>
        <w:fldChar w:fldCharType="end"/>
      </w:r>
      <w:bookmarkEnd w:id="9"/>
      <w:r w:rsidR="000D123A">
        <w:rPr>
          <w:rFonts w:ascii="Tahoma" w:hAnsi="Tahoma" w:cs="Tahoma"/>
          <w:sz w:val="18"/>
          <w:szCs w:val="18"/>
          <w:lang w:val="sl-SI"/>
        </w:rPr>
        <w:t xml:space="preserve"> </w:t>
      </w:r>
      <w:r w:rsidRPr="00417330">
        <w:rPr>
          <w:rFonts w:ascii="Tahoma" w:hAnsi="Tahoma" w:cs="Tahoma"/>
          <w:sz w:val="18"/>
          <w:szCs w:val="18"/>
          <w:lang w:val="sl-SI"/>
        </w:rPr>
        <w:t xml:space="preserve">do </w:t>
      </w:r>
      <w:r w:rsidR="00C77B7D">
        <w:rPr>
          <w:rFonts w:ascii="Tahoma" w:hAnsi="Tahoma" w:cs="Tahoma"/>
          <w:sz w:val="18"/>
          <w:szCs w:val="18"/>
        </w:rPr>
        <w:t>23.07.2024</w:t>
      </w:r>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bookmarkStart w:id="10" w:name="_Hlk49249554"/>
    <w:p w14:paraId="25BB5FA9" w14:textId="08030A82" w:rsidR="00385FF3" w:rsidRDefault="00D95DBD" w:rsidP="003D180C">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207"/>
            <w:enabled/>
            <w:calcOnExit w:val="0"/>
            <w:textInput/>
          </w:ffData>
        </w:fldChar>
      </w:r>
      <w:bookmarkStart w:id="11" w:name="Besedilo207"/>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1"/>
      <w:r w:rsidR="00764236">
        <w:rPr>
          <w:rFonts w:ascii="Tahoma" w:hAnsi="Tahoma" w:cs="Tahoma"/>
          <w:sz w:val="18"/>
          <w:szCs w:val="18"/>
          <w:lang w:val="sl-SI"/>
        </w:rPr>
        <w:t xml:space="preserve">; </w:t>
      </w:r>
      <w:r w:rsidR="00385FF3">
        <w:rPr>
          <w:rFonts w:ascii="Tahoma" w:hAnsi="Tahoma" w:cs="Tahoma"/>
          <w:sz w:val="18"/>
          <w:szCs w:val="18"/>
          <w:lang w:val="sl-SI"/>
        </w:rPr>
        <w:t xml:space="preserve">šifra JR </w:t>
      </w:r>
      <w:r>
        <w:rPr>
          <w:rFonts w:ascii="Tahoma" w:hAnsi="Tahoma" w:cs="Tahoma"/>
          <w:sz w:val="18"/>
          <w:szCs w:val="18"/>
          <w:lang w:val="sl-SI"/>
        </w:rPr>
        <w:fldChar w:fldCharType="begin">
          <w:ffData>
            <w:name w:val="Besedilo208"/>
            <w:enabled/>
            <w:calcOnExit w:val="0"/>
            <w:textInput/>
          </w:ffData>
        </w:fldChar>
      </w:r>
      <w:bookmarkStart w:id="12" w:name="Besedilo208"/>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2"/>
    </w:p>
    <w:bookmarkEnd w:id="10"/>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lastRenderedPageBreak/>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372EF2C2" w:rsidR="00A00472"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Naročnik pa se s tem okvirnim sporazumom/pogodbo zavezuje, da bo v primeru, če bo nabavljal </w:t>
      </w:r>
      <w:r w:rsidR="00332952" w:rsidRPr="007A746D">
        <w:rPr>
          <w:rFonts w:ascii="Tahoma" w:hAnsi="Tahoma" w:cs="Tahoma"/>
          <w:sz w:val="18"/>
          <w:szCs w:val="18"/>
          <w:lang w:val="sl-SI"/>
        </w:rPr>
        <w:t>blago</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okvirnega sporazuma/pogodbe, kupoval po cenah in pod pogoji dobave, kot je navedeno v tem okvirnem sporazumu/pogodbi.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6E86D6EC" w14:textId="77777777" w:rsidR="00CF7AE3" w:rsidRPr="00C77B7D" w:rsidRDefault="00CF7AE3" w:rsidP="00A31132">
      <w:pPr>
        <w:pStyle w:val="Odstavekseznama"/>
        <w:numPr>
          <w:ilvl w:val="2"/>
          <w:numId w:val="7"/>
        </w:numPr>
        <w:jc w:val="both"/>
        <w:rPr>
          <w:rFonts w:ascii="Tahoma" w:hAnsi="Tahoma" w:cs="Tahoma"/>
          <w:sz w:val="18"/>
          <w:szCs w:val="18"/>
          <w:lang w:val="sl-SI"/>
        </w:rPr>
      </w:pPr>
      <w:r w:rsidRPr="00C77B7D">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mora bti potrjena s strani obeh strank, prav tako pa se zaradi takšne spremembe ne sme povišati cena posameznega blaga. </w:t>
      </w:r>
    </w:p>
    <w:p w14:paraId="3FE2C3DD" w14:textId="77777777" w:rsidR="00B73C1A" w:rsidRPr="00CF7AE3" w:rsidRDefault="00B73C1A" w:rsidP="00CF7AE3">
      <w:pPr>
        <w:pStyle w:val="Odstavekseznama"/>
        <w:numPr>
          <w:ilvl w:val="2"/>
          <w:numId w:val="7"/>
        </w:numPr>
        <w:spacing w:after="12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13"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3"/>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4"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4"/>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5"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5"/>
      <w:r w:rsidRPr="00B73C1A">
        <w:rPr>
          <w:rFonts w:ascii="Tahoma" w:hAnsi="Tahoma" w:cs="Tahoma"/>
          <w:sz w:val="18"/>
          <w:szCs w:val="18"/>
          <w:lang w:val="sl-SI"/>
        </w:rPr>
        <w:t xml:space="preserve"> EUR z DDV;</w:t>
      </w:r>
    </w:p>
    <w:p w14:paraId="5DB0AF22"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A31132">
      <w:pPr>
        <w:spacing w:after="12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6"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6"/>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17"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7"/>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21764BA8"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3821F7">
              <w:rPr>
                <w:rFonts w:ascii="Tahoma" w:hAnsi="Tahoma" w:cs="Tahoma"/>
                <w:sz w:val="18"/>
                <w:szCs w:val="18"/>
                <w:lang w:val="sl-SI"/>
              </w:rPr>
              <w:t xml:space="preserve">- </w:t>
            </w:r>
            <w:r w:rsidR="003821F7" w:rsidRPr="003821F7">
              <w:rPr>
                <w:rFonts w:ascii="Tahoma" w:eastAsia="Times New Roman" w:hAnsi="Tahoma" w:cs="Tahoma"/>
                <w:bCs/>
                <w:color w:val="000000"/>
                <w:sz w:val="18"/>
                <w:szCs w:val="18"/>
                <w:lang w:val="sl-SI" w:eastAsia="zh-CN"/>
              </w:rPr>
              <w:t>vsak delovni dan</w:t>
            </w:r>
            <w:r w:rsidR="00C77B7D">
              <w:rPr>
                <w:rFonts w:ascii="Tahoma" w:eastAsia="Times New Roman" w:hAnsi="Tahoma" w:cs="Tahoma"/>
                <w:bCs/>
                <w:color w:val="000000"/>
                <w:sz w:val="18"/>
                <w:szCs w:val="18"/>
                <w:lang w:val="sl-SI" w:eastAsia="zh-CN"/>
              </w:rPr>
              <w:t xml:space="preserve"> (pon. do pet.)</w:t>
            </w:r>
            <w:r w:rsidR="003821F7">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7FCC6E0D"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  ko se spremeni davčna stopnja za vrste blaga iz ponudbe v času trajanja okvirnega sporazuma/pogodbe, se lahko cene iz ponudbe korigirajo izključno v višini nastale davčne spremembe. 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7F46B45C"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60 dni </w:t>
            </w:r>
            <w:r w:rsidR="000D123A" w:rsidRPr="000D123A">
              <w:rPr>
                <w:rFonts w:ascii="Verdana" w:eastAsia="Times New Roman" w:hAnsi="Verdana" w:cs="Arial"/>
                <w:color w:val="000000"/>
                <w:sz w:val="20"/>
                <w:szCs w:val="24"/>
                <w:lang w:eastAsia="zh-CN"/>
              </w:rPr>
              <w:t>(</w:t>
            </w:r>
            <w:r w:rsidR="000D123A" w:rsidRPr="000D123A">
              <w:rPr>
                <w:rFonts w:ascii="Tahoma" w:hAnsi="Tahoma" w:cs="Tahoma"/>
                <w:sz w:val="18"/>
                <w:szCs w:val="18"/>
                <w:lang w:val="sl-SI" w:eastAsia="zh-CN"/>
              </w:rPr>
              <w:t>Plačilni rok po pogodbi bo najdaljši, kot ga dopuščajo oziroma ga bodo dopuščali vsakokratni veljavni predpisi.)</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Pr="00417330">
              <w:rPr>
                <w:rFonts w:ascii="Tahoma" w:hAnsi="Tahoma" w:cs="Tahoma"/>
                <w:sz w:val="18"/>
                <w:szCs w:val="18"/>
              </w:rPr>
              <w:t>1 ura</w:t>
            </w:r>
            <w:r w:rsidRPr="00417330">
              <w:rPr>
                <w:rFonts w:ascii="Tahoma" w:hAnsi="Tahoma" w:cs="Tahoma"/>
                <w:sz w:val="18"/>
                <w:szCs w:val="18"/>
                <w:lang w:val="sl-SI"/>
              </w:rPr>
              <w:t xml:space="preserve"> od ure prejema naročila.</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D8CE9" w14:textId="26D8C57E" w:rsidR="00D41606" w:rsidRPr="00417330" w:rsidRDefault="00C77B7D" w:rsidP="00C77B7D">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t>3</w:t>
            </w:r>
            <w:r w:rsidR="00D4308D" w:rsidRPr="00417330">
              <w:rPr>
                <w:rFonts w:ascii="Tahoma" w:eastAsia="Times New Roman" w:hAnsi="Tahoma" w:cs="Tahoma"/>
                <w:sz w:val="18"/>
                <w:szCs w:val="18"/>
                <w:lang w:val="sl-SI" w:eastAsia="sl-SI"/>
              </w:rPr>
              <w:t xml:space="preserve"> delovne dni od naročila. </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3994C55B"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ali faxu,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15B2838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Dobavnici je potrebno obvezno priložiti fotokopijo naročilnice. Ob dobavi je obvezna prisotnost pooblaščene osebe naročnika. </w:t>
      </w:r>
    </w:p>
    <w:p w14:paraId="617B1C73" w14:textId="57843906"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Količinski prevzem se opravi takoj ob prevzemu.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vsako blago posebej. </w:t>
      </w:r>
    </w:p>
    <w:p w14:paraId="26C7E83D" w14:textId="6F007108" w:rsidR="00CF7AE3" w:rsidRPr="00C77B7D" w:rsidRDefault="00CF7AE3" w:rsidP="00CF7AE3">
      <w:pPr>
        <w:pStyle w:val="Odstavekseznama"/>
        <w:numPr>
          <w:ilvl w:val="2"/>
          <w:numId w:val="6"/>
        </w:numPr>
        <w:jc w:val="both"/>
        <w:rPr>
          <w:rFonts w:ascii="Tahoma" w:hAnsi="Tahoma" w:cs="Tahoma"/>
          <w:sz w:val="18"/>
          <w:szCs w:val="18"/>
          <w:lang w:val="sl-SI"/>
        </w:rPr>
      </w:pPr>
      <w:r w:rsidRPr="00C77B7D">
        <w:rPr>
          <w:rFonts w:ascii="Tahoma" w:hAnsi="Tahoma" w:cs="Tahoma"/>
          <w:sz w:val="18"/>
          <w:szCs w:val="18"/>
          <w:lang w:val="sl-SI"/>
        </w:rPr>
        <w:t>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(Nensi)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77777777" w:rsidR="00632E64" w:rsidRPr="00417330"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Če prodajalec blaga  ne zamenja v roku 24-ih ur od prejema reklamacije, to lahko stori naročnik na stroške prodajalca. V primeru ugotovljene neustrezne kakovosti naročnik takega blaga ni dolžan plačati, pri več kot trikratni ugotovitvi neustreznosti dobavljenega blaga, preneha zaveza naročnika, da bo v času okvirnega sporazuma/pogodbe tovrstno blago kupoval pri prodajalcu.</w:t>
      </w: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2183935F"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oz. stranki sporazuma, prodajalec pa je dolžen naročniku nadomestiti razliko v ceni med ceno iz sporazuma in ceno po kateri je naročnik blago kupil.</w:t>
      </w:r>
    </w:p>
    <w:p w14:paraId="50A01055"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77777777" w:rsidR="00632E64" w:rsidRPr="00417330" w:rsidRDefault="00632E64" w:rsidP="00632E64">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p>
    <w:p w14:paraId="20EE0099"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6599A1F4"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6FEE5A75" w:rsidR="00632E64" w:rsidRPr="00310DC3" w:rsidRDefault="00310DC3" w:rsidP="00310DC3">
      <w:pPr>
        <w:pStyle w:val="Odstavekseznama"/>
        <w:numPr>
          <w:ilvl w:val="2"/>
          <w:numId w:val="9"/>
        </w:numPr>
        <w:rPr>
          <w:rFonts w:ascii="Tahoma" w:hAnsi="Tahoma" w:cs="Tahoma"/>
          <w:sz w:val="18"/>
          <w:szCs w:val="18"/>
          <w:lang w:val="sl-SI"/>
        </w:rPr>
      </w:pPr>
      <w:r w:rsidRPr="00310DC3">
        <w:rPr>
          <w:rFonts w:ascii="Tahoma" w:hAnsi="Tahoma" w:cs="Tahoma"/>
          <w:sz w:val="18"/>
          <w:szCs w:val="18"/>
          <w:lang w:val="sl-SI"/>
        </w:rPr>
        <w:t>Za pogodbeno kazen ali kritje za nadomestno blago se izstavi račun. Pogodbena kazen ali kritje za nadomestno blago se lahko poračuna pri naslednjih izplačilih prodajalcu.</w:t>
      </w:r>
    </w:p>
    <w:p w14:paraId="27DA0B57"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BDC661D" w14:textId="77777777" w:rsidR="00632E64" w:rsidRPr="00417330" w:rsidRDefault="00632E64" w:rsidP="00632E64">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31465A00"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72F78851"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p>
    <w:p w14:paraId="1D356EDC"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7B7EE1E7" w14:textId="0D4B7F61" w:rsidR="008D619C" w:rsidRPr="00E60132" w:rsidRDefault="00632E64" w:rsidP="00E60132">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lastRenderedPageBreak/>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18" w:name="_Hlk485114908"/>
      <w:bookmarkEnd w:id="18"/>
    </w:p>
    <w:p w14:paraId="38DF917D"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Predložitev zavarovanja za dobro izvedbo pogodbenih obveznosti je pogoj za veljavnost tega okvirnega sporazuma/ pogodbe.</w:t>
      </w:r>
    </w:p>
    <w:p w14:paraId="73DD2E51"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lahko finančno zavarovanje uveljavi brez predhodnega opomina, mora pa prodajalca o tem, da ga je uveljavil, obvestiti elektronsko ali pisno po pošti, najkasneje 3 dni po dnevu, ko ga je predložil v izplačilo.</w:t>
      </w:r>
    </w:p>
    <w:p w14:paraId="65EF6F20" w14:textId="100782FB" w:rsidR="00A00472" w:rsidRPr="00417330" w:rsidRDefault="00632E64" w:rsidP="00E60132">
      <w:pPr>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2D86FAF0"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6941C5B3" w14:textId="77777777" w:rsidR="00DC2F26" w:rsidRPr="000D123A" w:rsidRDefault="00DC2F26" w:rsidP="000D123A">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343492A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13.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005F9912" w14:textId="0A1A9EFE"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6E7FE92E"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sodišče s pravnomočno odločitvijo ugotovilo kršitev obveznosti delovne, okoljske ali socialne zakonodaje s strani prodajalca ali podizvajalca ali</w:t>
      </w:r>
    </w:p>
    <w:p w14:paraId="3C2178E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6B28336C"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0049999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2960A4D"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7115FAA5"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733D8FE3"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BC5F2B9"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lastRenderedPageBreak/>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19"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19"/>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6E91592F" w:rsidR="00A00472" w:rsidRPr="00417330" w:rsidRDefault="000D123A">
            <w:pPr>
              <w:keepLines/>
              <w:widowControl w:val="0"/>
              <w:spacing w:after="0" w:line="240" w:lineRule="auto"/>
              <w:jc w:val="both"/>
              <w:rPr>
                <w:rFonts w:ascii="Tahoma" w:hAnsi="Tahoma" w:cs="Tahoma"/>
                <w:sz w:val="18"/>
                <w:szCs w:val="18"/>
              </w:rPr>
            </w:pPr>
            <w:r>
              <w:rPr>
                <w:rFonts w:ascii="Tahoma" w:hAnsi="Tahoma" w:cs="Tahoma"/>
                <w:sz w:val="18"/>
                <w:szCs w:val="18"/>
              </w:rPr>
              <w:t>23.07.2024</w:t>
            </w:r>
          </w:p>
        </w:tc>
      </w:tr>
      <w:tr w:rsidR="00A00472" w:rsidRPr="00417330" w14:paraId="16C2473B" w14:textId="77777777">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7FCC87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0F431" w14:textId="297896AA" w:rsidR="00C80D5C" w:rsidRPr="00C80D5C" w:rsidRDefault="00C80D5C" w:rsidP="00C80D5C">
            <w:pPr>
              <w:keepLines/>
              <w:widowControl w:val="0"/>
              <w:numPr>
                <w:ilvl w:val="0"/>
                <w:numId w:val="2"/>
              </w:numPr>
              <w:spacing w:after="0" w:line="240" w:lineRule="auto"/>
              <w:jc w:val="both"/>
              <w:rPr>
                <w:rFonts w:ascii="Tahoma" w:hAnsi="Tahoma" w:cs="Tahoma"/>
                <w:sz w:val="18"/>
                <w:szCs w:val="18"/>
                <w:lang w:val="sl-SI"/>
              </w:rPr>
            </w:pPr>
            <w:r w:rsidRPr="00C80D5C">
              <w:rPr>
                <w:rFonts w:ascii="Tahoma" w:hAnsi="Tahoma" w:cs="Tahoma"/>
                <w:sz w:val="18"/>
                <w:szCs w:val="18"/>
                <w:lang w:val="sl-SI"/>
              </w:rPr>
              <w:t>Če naročnik ali njegov pooblaščenec izvede novo javno naročilo z istovrstnega področja</w:t>
            </w:r>
            <w:r>
              <w:rPr>
                <w:rFonts w:ascii="Tahoma" w:hAnsi="Tahoma" w:cs="Tahoma"/>
                <w:sz w:val="18"/>
                <w:szCs w:val="18"/>
                <w:lang w:val="sl-SI"/>
              </w:rPr>
              <w:t>.</w:t>
            </w:r>
          </w:p>
          <w:p w14:paraId="3254D39E" w14:textId="6C14D03E" w:rsidR="00A00472" w:rsidRPr="00417330" w:rsidRDefault="00C80D5C" w:rsidP="00C80D5C">
            <w:pPr>
              <w:keepLines/>
              <w:widowControl w:val="0"/>
              <w:spacing w:after="0" w:line="240" w:lineRule="auto"/>
              <w:ind w:left="284"/>
              <w:jc w:val="both"/>
              <w:rPr>
                <w:rFonts w:ascii="Tahoma" w:hAnsi="Tahoma" w:cs="Tahoma"/>
                <w:sz w:val="18"/>
                <w:szCs w:val="18"/>
                <w:lang w:val="sl-SI"/>
              </w:rPr>
            </w:pPr>
            <w:r w:rsidRPr="00C80D5C">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11) </w:t>
            </w:r>
            <w:r w:rsidR="007E7421" w:rsidRPr="00417330">
              <w:rPr>
                <w:rFonts w:ascii="Tahoma" w:hAnsi="Tahoma" w:cs="Tahoma"/>
                <w:sz w:val="18"/>
                <w:szCs w:val="18"/>
                <w:lang w:val="sl-SI"/>
              </w:rPr>
              <w:t>Z dnem pravnomočnosti novega javnega naročila.</w:t>
            </w:r>
          </w:p>
        </w:tc>
      </w:tr>
      <w:tr w:rsidR="00A00472" w:rsidRPr="00417330" w14:paraId="730FAF5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1B385A2C"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E60132">
              <w:rPr>
                <w:rFonts w:ascii="Tahoma" w:hAnsi="Tahoma" w:cs="Tahoma"/>
                <w:sz w:val="18"/>
                <w:szCs w:val="18"/>
                <w:lang w:val="sl-SI"/>
              </w:rPr>
              <w:t>2</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0"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20"/>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1"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21"/>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lastRenderedPageBreak/>
              <w:t>5290 Šempeter pri Gorici</w:t>
            </w:r>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22"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2"/>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3"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3"/>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24" w:name="Text182"/>
        <w:bookmarkEnd w:id="24"/>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25"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5"/>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C259DA"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C259DA">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26"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26"/>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6405D361" w14:textId="6B474669" w:rsidR="00417330" w:rsidRPr="00C259DA"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C259DA">
              <w:rPr>
                <w:rFonts w:ascii="Tahoma" w:eastAsia="SimSun" w:hAnsi="Tahoma" w:cs="Tahoma"/>
                <w:kern w:val="1"/>
                <w:sz w:val="18"/>
                <w:szCs w:val="18"/>
                <w:lang w:val="sl-SI" w:eastAsia="hi-IN" w:bidi="hi-IN"/>
              </w:rPr>
              <w:t xml:space="preserve">direktor zavoda </w:t>
            </w:r>
          </w:p>
          <w:p w14:paraId="3E55D842" w14:textId="33447EE8" w:rsidR="00417330" w:rsidRPr="00C259DA" w:rsidRDefault="00C77B7D"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C259DA">
              <w:rPr>
                <w:rFonts w:ascii="Tahoma" w:eastAsia="SimSun" w:hAnsi="Tahoma" w:cs="Tahoma"/>
                <w:kern w:val="1"/>
                <w:sz w:val="18"/>
                <w:szCs w:val="18"/>
                <w:lang w:val="sl-SI" w:eastAsia="hi-IN" w:bidi="hi-IN"/>
              </w:rPr>
              <w:t>Dimitrij Klančič,dr.med., spec.int.med.</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CAD2" w14:textId="77777777" w:rsidR="00C266B5" w:rsidRDefault="00C266B5" w:rsidP="00787D0D">
      <w:pPr>
        <w:spacing w:after="0" w:line="240" w:lineRule="auto"/>
      </w:pPr>
      <w:r>
        <w:separator/>
      </w:r>
    </w:p>
  </w:endnote>
  <w:endnote w:type="continuationSeparator" w:id="0">
    <w:p w14:paraId="0AB1777F" w14:textId="77777777" w:rsidR="00C266B5" w:rsidRDefault="00C266B5"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900525"/>
      <w:docPartObj>
        <w:docPartGallery w:val="Page Numbers (Bottom of Page)"/>
        <w:docPartUnique/>
      </w:docPartObj>
    </w:sdtPr>
    <w:sdtEndPr/>
    <w:sdtContent>
      <w:sdt>
        <w:sdtPr>
          <w:id w:val="-1769616900"/>
          <w:docPartObj>
            <w:docPartGallery w:val="Page Numbers (Top of Page)"/>
            <w:docPartUnique/>
          </w:docPartObj>
        </w:sdtPr>
        <w:sdtEndPr/>
        <w:sdtContent>
          <w:p w14:paraId="61345761" w14:textId="2BC6E210" w:rsidR="00787D0D" w:rsidRDefault="00787D0D">
            <w:pPr>
              <w:pStyle w:val="Noga"/>
              <w:jc w:val="right"/>
            </w:pPr>
            <w:r>
              <w:rPr>
                <w:lang w:val="sl-SI"/>
              </w:rPr>
              <w:t xml:space="preserve">Stran </w:t>
            </w:r>
            <w:r>
              <w:rPr>
                <w:b/>
                <w:bCs/>
                <w:sz w:val="24"/>
                <w:szCs w:val="24"/>
              </w:rPr>
              <w:fldChar w:fldCharType="begin"/>
            </w:r>
            <w:r>
              <w:rPr>
                <w:b/>
                <w:bCs/>
              </w:rPr>
              <w:instrText>PAGE</w:instrText>
            </w:r>
            <w:r>
              <w:rPr>
                <w:b/>
                <w:bCs/>
                <w:sz w:val="24"/>
                <w:szCs w:val="24"/>
              </w:rPr>
              <w:fldChar w:fldCharType="separate"/>
            </w:r>
            <w:r w:rsidR="00764236">
              <w:rPr>
                <w:b/>
                <w:bCs/>
                <w:noProof/>
              </w:rPr>
              <w:t>8</w:t>
            </w:r>
            <w:r>
              <w:rPr>
                <w:b/>
                <w:bCs/>
                <w:sz w:val="24"/>
                <w:szCs w:val="24"/>
              </w:rPr>
              <w:fldChar w:fldCharType="end"/>
            </w:r>
            <w:r>
              <w:rPr>
                <w:lang w:val="sl-SI"/>
              </w:rPr>
              <w:t>/</w:t>
            </w:r>
            <w:r>
              <w:rPr>
                <w:b/>
                <w:bCs/>
                <w:sz w:val="24"/>
                <w:szCs w:val="24"/>
              </w:rPr>
              <w:fldChar w:fldCharType="begin"/>
            </w:r>
            <w:r>
              <w:rPr>
                <w:b/>
                <w:bCs/>
              </w:rPr>
              <w:instrText>NUMPAGES</w:instrText>
            </w:r>
            <w:r>
              <w:rPr>
                <w:b/>
                <w:bCs/>
                <w:sz w:val="24"/>
                <w:szCs w:val="24"/>
              </w:rPr>
              <w:fldChar w:fldCharType="separate"/>
            </w:r>
            <w:r w:rsidR="00764236">
              <w:rPr>
                <w:b/>
                <w:bCs/>
                <w:noProof/>
              </w:rPr>
              <w:t>8</w:t>
            </w:r>
            <w:r>
              <w:rPr>
                <w:b/>
                <w:bCs/>
                <w:sz w:val="24"/>
                <w:szCs w:val="24"/>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B139" w14:textId="77777777" w:rsidR="00C266B5" w:rsidRDefault="00C266B5" w:rsidP="00787D0D">
      <w:pPr>
        <w:spacing w:after="0" w:line="240" w:lineRule="auto"/>
      </w:pPr>
      <w:r>
        <w:separator/>
      </w:r>
    </w:p>
  </w:footnote>
  <w:footnote w:type="continuationSeparator" w:id="0">
    <w:p w14:paraId="280D18B4" w14:textId="77777777" w:rsidR="00C266B5" w:rsidRDefault="00C266B5"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5E00F2"/>
    <w:multiLevelType w:val="hybridMultilevel"/>
    <w:tmpl w:val="B0B47CC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8988784">
    <w:abstractNumId w:val="13"/>
  </w:num>
  <w:num w:numId="2" w16cid:durableId="2067800247">
    <w:abstractNumId w:val="18"/>
  </w:num>
  <w:num w:numId="3" w16cid:durableId="1203901050">
    <w:abstractNumId w:val="19"/>
  </w:num>
  <w:num w:numId="4" w16cid:durableId="1429934291">
    <w:abstractNumId w:val="7"/>
  </w:num>
  <w:num w:numId="5" w16cid:durableId="586884818">
    <w:abstractNumId w:val="14"/>
  </w:num>
  <w:num w:numId="6" w16cid:durableId="1851604348">
    <w:abstractNumId w:val="25"/>
  </w:num>
  <w:num w:numId="7" w16cid:durableId="771389952">
    <w:abstractNumId w:val="23"/>
  </w:num>
  <w:num w:numId="8" w16cid:durableId="939409543">
    <w:abstractNumId w:val="4"/>
  </w:num>
  <w:num w:numId="9" w16cid:durableId="451095146">
    <w:abstractNumId w:val="2"/>
  </w:num>
  <w:num w:numId="10" w16cid:durableId="1930310214">
    <w:abstractNumId w:val="5"/>
  </w:num>
  <w:num w:numId="11" w16cid:durableId="1965501253">
    <w:abstractNumId w:val="12"/>
  </w:num>
  <w:num w:numId="12" w16cid:durableId="954215404">
    <w:abstractNumId w:val="6"/>
  </w:num>
  <w:num w:numId="13" w16cid:durableId="35810903">
    <w:abstractNumId w:val="17"/>
  </w:num>
  <w:num w:numId="14" w16cid:durableId="685448009">
    <w:abstractNumId w:val="3"/>
  </w:num>
  <w:num w:numId="15" w16cid:durableId="1080641474">
    <w:abstractNumId w:val="15"/>
  </w:num>
  <w:num w:numId="16" w16cid:durableId="980765095">
    <w:abstractNumId w:val="1"/>
  </w:num>
  <w:num w:numId="17" w16cid:durableId="545995165">
    <w:abstractNumId w:val="11"/>
  </w:num>
  <w:num w:numId="18" w16cid:durableId="333148817">
    <w:abstractNumId w:val="10"/>
  </w:num>
  <w:num w:numId="19" w16cid:durableId="2031838714">
    <w:abstractNumId w:val="8"/>
  </w:num>
  <w:num w:numId="20" w16cid:durableId="652492794">
    <w:abstractNumId w:val="0"/>
  </w:num>
  <w:num w:numId="21" w16cid:durableId="1956710089">
    <w:abstractNumId w:val="22"/>
  </w:num>
  <w:num w:numId="22" w16cid:durableId="1759593774">
    <w:abstractNumId w:val="9"/>
  </w:num>
  <w:num w:numId="23" w16cid:durableId="218901739">
    <w:abstractNumId w:val="20"/>
  </w:num>
  <w:num w:numId="24" w16cid:durableId="923802860">
    <w:abstractNumId w:val="21"/>
  </w:num>
  <w:num w:numId="25" w16cid:durableId="321782683">
    <w:abstractNumId w:val="16"/>
  </w:num>
  <w:num w:numId="26" w16cid:durableId="17481864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79A5"/>
    <w:rsid w:val="000D123A"/>
    <w:rsid w:val="0010453D"/>
    <w:rsid w:val="00110A3C"/>
    <w:rsid w:val="00112588"/>
    <w:rsid w:val="001E6B84"/>
    <w:rsid w:val="001F17F1"/>
    <w:rsid w:val="00283D03"/>
    <w:rsid w:val="002C66A1"/>
    <w:rsid w:val="002D056B"/>
    <w:rsid w:val="00310DC3"/>
    <w:rsid w:val="00316728"/>
    <w:rsid w:val="0032237D"/>
    <w:rsid w:val="00332952"/>
    <w:rsid w:val="003821F7"/>
    <w:rsid w:val="00385FF3"/>
    <w:rsid w:val="0039153C"/>
    <w:rsid w:val="003D180C"/>
    <w:rsid w:val="003F6EA8"/>
    <w:rsid w:val="00404DA2"/>
    <w:rsid w:val="00417330"/>
    <w:rsid w:val="0043390A"/>
    <w:rsid w:val="00434C12"/>
    <w:rsid w:val="004A6E02"/>
    <w:rsid w:val="004D45E5"/>
    <w:rsid w:val="004E0E5B"/>
    <w:rsid w:val="00505D86"/>
    <w:rsid w:val="00572E03"/>
    <w:rsid w:val="005C0ABA"/>
    <w:rsid w:val="00632E64"/>
    <w:rsid w:val="006455F1"/>
    <w:rsid w:val="00682256"/>
    <w:rsid w:val="00687EBD"/>
    <w:rsid w:val="007147B4"/>
    <w:rsid w:val="007509FE"/>
    <w:rsid w:val="00764236"/>
    <w:rsid w:val="00787D0D"/>
    <w:rsid w:val="007A746D"/>
    <w:rsid w:val="007E0E7A"/>
    <w:rsid w:val="007E7421"/>
    <w:rsid w:val="007F7C67"/>
    <w:rsid w:val="00804B28"/>
    <w:rsid w:val="008D619C"/>
    <w:rsid w:val="008E21F7"/>
    <w:rsid w:val="009219BF"/>
    <w:rsid w:val="00956DBE"/>
    <w:rsid w:val="009701DA"/>
    <w:rsid w:val="0097503C"/>
    <w:rsid w:val="009C2EAA"/>
    <w:rsid w:val="00A00472"/>
    <w:rsid w:val="00A31132"/>
    <w:rsid w:val="00A627C3"/>
    <w:rsid w:val="00A77014"/>
    <w:rsid w:val="00A80C39"/>
    <w:rsid w:val="00AC4DA5"/>
    <w:rsid w:val="00AD3ECE"/>
    <w:rsid w:val="00B32699"/>
    <w:rsid w:val="00B73C1A"/>
    <w:rsid w:val="00BC2F1D"/>
    <w:rsid w:val="00BF7284"/>
    <w:rsid w:val="00C259DA"/>
    <w:rsid w:val="00C266B5"/>
    <w:rsid w:val="00C63FA8"/>
    <w:rsid w:val="00C77B7D"/>
    <w:rsid w:val="00C80D5C"/>
    <w:rsid w:val="00CF7AE3"/>
    <w:rsid w:val="00D41606"/>
    <w:rsid w:val="00D4308D"/>
    <w:rsid w:val="00D95DBD"/>
    <w:rsid w:val="00DC2F26"/>
    <w:rsid w:val="00E05D38"/>
    <w:rsid w:val="00E43680"/>
    <w:rsid w:val="00E60132"/>
    <w:rsid w:val="00E7543D"/>
    <w:rsid w:val="00E7797E"/>
    <w:rsid w:val="00F102E1"/>
    <w:rsid w:val="00F704C4"/>
    <w:rsid w:val="00FA701B"/>
    <w:rsid w:val="00FB702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3438</Words>
  <Characters>19602</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14</cp:revision>
  <cp:lastPrinted>2021-03-12T10:59:00Z</cp:lastPrinted>
  <dcterms:created xsi:type="dcterms:W3CDTF">2021-09-10T07:49:00Z</dcterms:created>
  <dcterms:modified xsi:type="dcterms:W3CDTF">2022-12-14T08:04:00Z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