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092E9E">
        <w:trPr>
          <w:trHeight w:val="99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8027C2E" w:rsidR="00495EC3" w:rsidRPr="00B112A1" w:rsidRDefault="00092E9E" w:rsidP="00092E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92E9E">
              <w:rPr>
                <w:rFonts w:ascii="Tahoma" w:eastAsia="Calibri" w:hAnsi="Tahoma" w:cs="Tahoma"/>
                <w:sz w:val="18"/>
                <w:szCs w:val="18"/>
              </w:rPr>
              <w:t>200-7/2025</w:t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430B55F" w:rsidR="00495EC3" w:rsidRPr="00B112A1" w:rsidRDefault="00092E9E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92E9E">
              <w:rPr>
                <w:rFonts w:ascii="Tahoma" w:eastAsia="Calibri" w:hAnsi="Tahoma" w:cs="Tahoma"/>
                <w:sz w:val="18"/>
                <w:szCs w:val="18"/>
              </w:rPr>
              <w:t>MP za endoskopsko urologijo (ponovitev)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2E9E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312ED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2025-04-09T10:58:00Z</dcterms:modified>
</cp:coreProperties>
</file>