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344F53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292234B" w:rsidR="007E0223" w:rsidRPr="003D1573" w:rsidRDefault="00344F5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344F53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01F1C91" w:rsidR="007E0223" w:rsidRPr="003D1573" w:rsidRDefault="00344F5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Urejanje okolice SB Nova Gorica in OIMR Stara Gora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EA08A3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44F53" w:rsidRPr="00344F53">
        <w:rPr>
          <w:rFonts w:ascii="Tahoma" w:eastAsia="Calibri" w:hAnsi="Tahoma" w:cs="Tahoma"/>
          <w:color w:val="000000"/>
          <w:sz w:val="18"/>
          <w:szCs w:val="18"/>
        </w:rPr>
        <w:t>Urejanje okolice SB Nova Gorica in OIMR Stara Gora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begin"/>
      </w:r>
      <w:r w:rsidRPr="00344F53">
        <w:rPr>
          <w:rFonts w:ascii="Tahoma" w:eastAsia="Calibri" w:hAnsi="Tahoma" w:cs="Tahoma"/>
          <w:bCs/>
          <w:sz w:val="18"/>
          <w:szCs w:val="18"/>
        </w:rPr>
        <w:instrText xml:space="preserve"> DOCPROPERTY  "MFiles_P1021n1_P0"  \* MERGEFORMAT </w:instrTex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separate"/>
      </w:r>
      <w:r w:rsidRPr="00344F53">
        <w:rPr>
          <w:rFonts w:ascii="Tahoma" w:eastAsia="Calibri" w:hAnsi="Tahoma" w:cs="Tahoma"/>
          <w:bCs/>
          <w:sz w:val="18"/>
          <w:szCs w:val="18"/>
        </w:rPr>
        <w:t>Splošna bolnišnica dr. Franca Derganca Nova Gorica</w: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end"/>
      </w:r>
      <w:r w:rsidRPr="00344F53">
        <w:rPr>
          <w:rFonts w:ascii="Tahoma" w:eastAsia="Calibri" w:hAnsi="Tahoma" w:cs="Tahoma"/>
          <w:bCs/>
          <w:kern w:val="3"/>
          <w:sz w:val="18"/>
          <w:szCs w:val="18"/>
          <w:lang w:eastAsia="zh-CN"/>
        </w:rPr>
        <w:t xml:space="preserve">, kot gospodarski subjekt (s.p.) ali odgovorna oseba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44F53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85966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2025-03-12T10:10:00Z</dcterms:modified>
</cp:coreProperties>
</file>